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4" w:rsidRPr="00A07504" w:rsidRDefault="00A07504" w:rsidP="00A07504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7504">
        <w:rPr>
          <w:rFonts w:eastAsia="Times New Roman"/>
          <w:color w:val="000000"/>
          <w:sz w:val="24"/>
          <w:szCs w:val="24"/>
          <w:lang w:eastAsia="ru-RU"/>
        </w:rPr>
        <w:t>Приложение 2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A07504" w:rsidRPr="00A07504" w:rsidRDefault="00A07504" w:rsidP="00A07504">
      <w:pPr>
        <w:widowControl w:val="0"/>
        <w:rPr>
          <w:rFonts w:eastAsia="Times New Roman"/>
          <w:color w:val="000000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b/>
          <w:color w:val="000000"/>
          <w:sz w:val="28"/>
          <w:szCs w:val="28"/>
          <w:lang w:eastAsia="ru-RU"/>
        </w:rPr>
        <w:t>Расчет токов короткого замыкания</w:t>
      </w:r>
    </w:p>
    <w:p w:rsidR="00A07504" w:rsidRPr="00A07504" w:rsidRDefault="00A07504" w:rsidP="00A07504">
      <w:pPr>
        <w:widowControl w:val="0"/>
        <w:rPr>
          <w:rFonts w:eastAsia="Times New Roman"/>
          <w:color w:val="000000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>1. Токи двухфазного к.з. определяются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958"/>
      </w:tblGrid>
      <w:tr w:rsidR="00A07504" w:rsidRPr="00A07504" w:rsidTr="00893C30">
        <w:tc>
          <w:tcPr>
            <w:tcW w:w="8755" w:type="dxa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к.з.min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(2)</m:t>
                    </m:r>
                  </m:sup>
                </m:sSub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рс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Т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К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·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пр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рс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Т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К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·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пр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958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075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(1)</w:t>
            </w:r>
          </w:p>
        </w:tc>
      </w:tr>
    </w:tbl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н</m:t>
            </m:r>
          </m:sub>
        </m:sSub>
      </m:oMath>
      <w:r w:rsidRPr="00A07504">
        <w:rPr>
          <w:rFonts w:eastAsia="Times New Roman"/>
          <w:bCs/>
          <w:i/>
          <w:iCs/>
          <w:smallCap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– среднее номинальное напряжение сети принимается равным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133; 230; 400; 690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или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1200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В;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, 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 xml:space="preserve"> 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, 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</m:oMath>
      <w:r w:rsidRPr="00A07504">
        <w:rPr>
          <w:rFonts w:eastAsia="Times New Roman"/>
          <w:i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активные и индуктивные сопротивления высоковольтной распределительной сети и трансформатора, приведенные к вторичной обмотке, Ом/км;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 активное и индуктивное сопротивление 1 км кабеля сечением 50 мм</w:t>
      </w:r>
      <w:r w:rsidRPr="00A07504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, Ом/км;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</m:oMath>
      <w:r w:rsidRPr="00A0750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приведенная к сечению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50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мм</w:t>
      </w:r>
      <w:r w:rsidRPr="00A07504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или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4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мм</w:t>
      </w:r>
      <w:r w:rsidRPr="00A07504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длина кабельных линий, составляющих цепь к.з., км.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2. Расчет тока </w:t>
      </w:r>
      <m:oMath>
        <m:sSubSup>
          <m:sSub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vertAlign w:val="subscript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vertAlign w:val="subscript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Arial"/>
                <w:color w:val="000000"/>
                <w:sz w:val="28"/>
                <w:szCs w:val="28"/>
                <w:vertAlign w:val="subscript"/>
                <w:lang w:eastAsia="ru-RU"/>
              </w:rPr>
              <m:t>к</m:t>
            </m:r>
            <m:r>
              <m:rPr>
                <m:sty m:val="p"/>
              </m:rPr>
              <w:rPr>
                <w:rFonts w:ascii="Cambria Math" w:eastAsia="Times New Roman" w:hAnsi="Arial"/>
                <w:color w:val="000000"/>
                <w:sz w:val="28"/>
                <w:szCs w:val="28"/>
                <w:vertAlign w:val="subscript"/>
                <w:lang w:eastAsia="ru-RU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Arial"/>
                <w:color w:val="000000"/>
                <w:sz w:val="28"/>
                <w:szCs w:val="28"/>
                <w:vertAlign w:val="subscript"/>
                <w:lang w:eastAsia="ru-RU"/>
              </w:rPr>
              <m:t>з</m:t>
            </m:r>
            <m:r>
              <m:rPr>
                <m:sty m:val="p"/>
              </m:rPr>
              <w:rPr>
                <w:rFonts w:ascii="Cambria Math" w:eastAsia="Times New Roman" w:hAnsi="Arial"/>
                <w:color w:val="000000"/>
                <w:sz w:val="28"/>
                <w:szCs w:val="28"/>
                <w:vertAlign w:val="subscript"/>
                <w:lang w:eastAsia="ru-RU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vertAlign w:val="subscript"/>
                <w:lang w:val="en-US" w:eastAsia="ru-RU"/>
              </w:rPr>
              <m:t>min</m:t>
            </m:r>
          </m:sub>
          <m:sup>
            <m:r>
              <m:rPr>
                <m:sty m:val="p"/>
              </m:rPr>
              <w:rPr>
                <w:rFonts w:ascii="Cambria Math" w:eastAsia="Times New Roman" w:hAnsi="Arial"/>
                <w:color w:val="000000"/>
                <w:sz w:val="28"/>
                <w:szCs w:val="28"/>
                <w:vertAlign w:val="subscript"/>
                <w:lang w:eastAsia="ru-RU"/>
              </w:rPr>
              <m:t>(2)</m:t>
            </m:r>
          </m:sup>
        </m:sSubSup>
      </m:oMath>
      <w:r w:rsidRPr="00A07504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выполняется с учетом следующих условий: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при применении участковых подстанций с мощностью до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400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кВ·А включительно сопротивление распределительной сети принимается равным нулю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=0,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=0)</m:t>
        </m:r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при определении мощности к.з. более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50 </w:t>
      </w:r>
      <w:r w:rsidRPr="00A07504">
        <w:rPr>
          <w:rFonts w:eastAsia="Times New Roman"/>
          <w:bCs/>
          <w:color w:val="000000"/>
          <w:sz w:val="28"/>
          <w:szCs w:val="28"/>
          <w:lang w:val="en-US" w:eastAsia="ru-RU"/>
        </w:rPr>
        <w:t>MB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·</w:t>
      </w:r>
      <w:r w:rsidRPr="00A07504">
        <w:rPr>
          <w:rFonts w:eastAsia="Times New Roman"/>
          <w:color w:val="000000"/>
          <w:sz w:val="28"/>
          <w:szCs w:val="28"/>
          <w:lang w:val="en-US" w:eastAsia="ru-RU"/>
        </w:rPr>
        <w:t>A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w:r w:rsidRPr="00A07504">
        <w:rPr>
          <w:rFonts w:eastAsia="Times New Roman"/>
          <w:iCs/>
          <w:color w:val="000000"/>
          <w:sz w:val="28"/>
          <w:szCs w:val="28"/>
          <w:lang w:val="en-US" w:eastAsia="ru-RU"/>
        </w:rPr>
        <w:t>S</w:t>
      </w:r>
      <w:r w:rsidRPr="00A07504">
        <w:rPr>
          <w:rFonts w:eastAsia="Times New Roman"/>
          <w:iCs/>
          <w:color w:val="000000"/>
          <w:sz w:val="28"/>
          <w:szCs w:val="28"/>
          <w:vertAlign w:val="subscript"/>
          <w:lang w:eastAsia="ru-RU"/>
        </w:rPr>
        <w:t>к.з.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 xml:space="preserve"> &gt;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50 </w:t>
      </w:r>
      <w:r w:rsidRPr="00A07504">
        <w:rPr>
          <w:rFonts w:eastAsia="Times New Roman"/>
          <w:bCs/>
          <w:color w:val="000000"/>
          <w:sz w:val="28"/>
          <w:szCs w:val="28"/>
          <w:lang w:val="en-US" w:eastAsia="ru-RU"/>
        </w:rPr>
        <w:t>MB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>·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А) активное сопротивление распределительной сети принимается равным нулю 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=0</m:t>
        </m:r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>3.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 При определении мощности к.з. менее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50 </w:t>
      </w:r>
      <w:r w:rsidRPr="00A07504">
        <w:rPr>
          <w:rFonts w:eastAsia="Times New Roman"/>
          <w:bCs/>
          <w:color w:val="000000"/>
          <w:sz w:val="28"/>
          <w:szCs w:val="28"/>
          <w:lang w:val="en-US" w:eastAsia="ru-RU"/>
        </w:rPr>
        <w:t>MB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·</w:t>
      </w:r>
      <w:r w:rsidRPr="00A07504">
        <w:rPr>
          <w:rFonts w:eastAsia="Times New Roman"/>
          <w:color w:val="000000"/>
          <w:sz w:val="28"/>
          <w:szCs w:val="28"/>
          <w:lang w:val="en-US" w:eastAsia="ru-RU"/>
        </w:rPr>
        <w:t>A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w:r w:rsidRPr="00A07504">
        <w:rPr>
          <w:rFonts w:eastAsia="Times New Roman"/>
          <w:iCs/>
          <w:color w:val="000000"/>
          <w:sz w:val="28"/>
          <w:szCs w:val="28"/>
          <w:lang w:val="en-US" w:eastAsia="ru-RU"/>
        </w:rPr>
        <w:t>S</w:t>
      </w:r>
      <w:r w:rsidRPr="00A07504">
        <w:rPr>
          <w:rFonts w:eastAsia="Times New Roman"/>
          <w:iCs/>
          <w:color w:val="000000"/>
          <w:sz w:val="28"/>
          <w:szCs w:val="28"/>
          <w:vertAlign w:val="subscript"/>
          <w:lang w:eastAsia="ru-RU"/>
        </w:rPr>
        <w:t>к.з.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 xml:space="preserve"> &lt;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 xml:space="preserve">50 </w:t>
      </w:r>
      <w:r w:rsidRPr="00A07504">
        <w:rPr>
          <w:rFonts w:eastAsia="Times New Roman"/>
          <w:bCs/>
          <w:color w:val="000000"/>
          <w:sz w:val="28"/>
          <w:szCs w:val="28"/>
          <w:lang w:val="en-US" w:eastAsia="ru-RU"/>
        </w:rPr>
        <w:t>MB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>·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А) полное (</w:t>
      </w:r>
      <w:r w:rsidRPr="00A07504">
        <w:rPr>
          <w:rFonts w:eastAsia="Times New Roman"/>
          <w:color w:val="000000"/>
          <w:sz w:val="28"/>
          <w:szCs w:val="28"/>
          <w:lang w:val="en-US" w:eastAsia="ru-RU"/>
        </w:rPr>
        <w:t>Z</w:t>
      </w:r>
      <w:r w:rsidRPr="00A07504">
        <w:rPr>
          <w:rFonts w:eastAsia="Times New Roman"/>
          <w:color w:val="000000"/>
          <w:sz w:val="28"/>
          <w:szCs w:val="28"/>
          <w:vertAlign w:val="subscript"/>
          <w:lang w:eastAsia="ru-RU"/>
        </w:rPr>
        <w:t>рс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), активное 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</m:oMath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и индуктивное </w:t>
      </w:r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рс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)</m:t>
        </m:r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сопротивление высоковольтной распределительной сети определяются по формулам: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402"/>
        <w:gridCol w:w="1241"/>
      </w:tblGrid>
      <w:tr w:rsidR="00A07504" w:rsidRPr="00A07504" w:rsidTr="00893C30">
        <w:trPr>
          <w:trHeight w:val="906"/>
        </w:trPr>
        <w:tc>
          <w:tcPr>
            <w:tcW w:w="2235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рс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к.з.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рс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1,1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к.з.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-0,02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3402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рс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рс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рс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 xml:space="preserve"> ,</m:t>
                    </m:r>
                  </m:e>
                </m:rad>
              </m:oMath>
            </m:oMathPara>
          </w:p>
        </w:tc>
        <w:tc>
          <w:tcPr>
            <w:tcW w:w="1241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3"/>
              <w:jc w:val="right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7504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(2)</w:t>
            </w:r>
          </w:p>
        </w:tc>
      </w:tr>
    </w:tbl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к.з.</m:t>
            </m:r>
          </m:sub>
        </m:sSub>
      </m:oMath>
      <w:r w:rsidRPr="00A0750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мощность к.з. на вводе участковой подстанции или на шинах ближай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softHyphen/>
        <w:t>шего питающего РПП-6, МВ·А.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>4.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 Индуктивное и активное сопротивление трансформатора определяются по формулам: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3261"/>
        <w:gridCol w:w="2693"/>
        <w:gridCol w:w="1950"/>
      </w:tblGrid>
      <w:tr w:rsidR="00A07504" w:rsidRPr="00A07504" w:rsidTr="00893C30">
        <w:tc>
          <w:tcPr>
            <w:tcW w:w="3261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К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2693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тс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1950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075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(3)</w:t>
            </w:r>
          </w:p>
        </w:tc>
      </w:tr>
    </w:tbl>
    <w:p w:rsidR="00A07504" w:rsidRPr="00A07504" w:rsidRDefault="00A07504" w:rsidP="00A07504">
      <w:pPr>
        <w:widowControl w:val="0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sub>
        </m:sSub>
      </m:oMath>
      <w:r w:rsidRPr="00A0750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напряжение короткого замыкания, </w:t>
      </w:r>
      <w:r w:rsidRPr="00A07504">
        <w:rPr>
          <w:rFonts w:eastAsia="Times New Roman"/>
          <w:bCs/>
          <w:color w:val="000000"/>
          <w:sz w:val="28"/>
          <w:szCs w:val="28"/>
          <w:lang w:eastAsia="ru-RU"/>
        </w:rPr>
        <w:t>%;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</m:oMath>
      <w:r w:rsidRPr="00A0750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номинальная мощность трансформатора, кВ·А;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</m:sSub>
      </m:oMath>
      <w:r w:rsidRPr="00A0750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–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потери короткого замыкания трансформатора, Вт.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A07504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>5. Активное и индуктивное сопротивления жил кабеля принимаются по каталожным данным производителя и пересчитываются на значение температуры нагрева +</w:t>
      </w:r>
      <w:r w:rsidRPr="00A07504">
        <w:rPr>
          <w:rFonts w:eastAsia="Times New Roman"/>
          <w:iCs/>
          <w:color w:val="000000"/>
          <w:spacing w:val="-4"/>
          <w:sz w:val="28"/>
          <w:szCs w:val="28"/>
          <w:lang w:eastAsia="ru-RU"/>
        </w:rPr>
        <w:t xml:space="preserve">65 </w:t>
      </w:r>
      <w:r w:rsidRPr="00A07504">
        <w:rPr>
          <w:rFonts w:eastAsia="Times New Roman"/>
          <w:color w:val="000000"/>
          <w:spacing w:val="-4"/>
          <w:sz w:val="28"/>
          <w:szCs w:val="28"/>
          <w:vertAlign w:val="superscript"/>
          <w:lang w:eastAsia="ru-RU"/>
        </w:rPr>
        <w:t>0</w:t>
      </w:r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С. Активное сопротивление кабеля, нагретого до температуры +65 </w:t>
      </w:r>
      <w:r w:rsidRPr="00A07504">
        <w:rPr>
          <w:rFonts w:eastAsia="Times New Roman"/>
          <w:color w:val="000000"/>
          <w:spacing w:val="-4"/>
          <w:sz w:val="28"/>
          <w:szCs w:val="28"/>
          <w:vertAlign w:val="superscript"/>
          <w:lang w:eastAsia="ru-RU"/>
        </w:rPr>
        <w:t>0</w:t>
      </w:r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>С и имеющего площадь сечения медных жил 50 мм</w:t>
      </w:r>
      <w:r w:rsidRPr="00A07504">
        <w:rPr>
          <w:rFonts w:eastAsia="Times New Roman"/>
          <w:color w:val="000000"/>
          <w:spacing w:val="-4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>, равно 0,423 Ом/км. Индуктивное сопротивление такого кабеля составляет 0,075 Ом/км.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>Суммарное переходное сопротивление контактов и элементов коммутационных аппаратов, а также переходное сопротивление в месте к.з. принимается равным 0,005 Ом на один аппарат.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>6. Расчетный минимальный ток к.з. в наиболее удаленной точке искроопасного присоединения напряжением до 42 В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793"/>
      </w:tblGrid>
      <w:tr w:rsidR="00A07504" w:rsidRPr="00A07504" w:rsidTr="00893C30">
        <w:trPr>
          <w:trHeight w:val="794"/>
        </w:trPr>
        <w:tc>
          <w:tcPr>
            <w:tcW w:w="5920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к.з.min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3793" w:type="dxa"/>
            <w:vAlign w:val="center"/>
          </w:tcPr>
          <w:p w:rsidR="00A07504" w:rsidRPr="00A07504" w:rsidRDefault="00A07504" w:rsidP="00A075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075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(4)</w:t>
            </w:r>
          </w:p>
        </w:tc>
      </w:tr>
    </w:tbl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pacing w:val="-4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/>
                <w:color w:val="000000"/>
                <w:spacing w:val="-4"/>
                <w:sz w:val="28"/>
                <w:szCs w:val="28"/>
                <w:lang w:eastAsia="ru-RU"/>
              </w:rPr>
              <m:t>н</m:t>
            </m:r>
          </m:sub>
        </m:sSub>
      </m:oMath>
      <w:r w:rsidRPr="00A07504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– номинальное напряжение вторичной обмотки трансформатора, В;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 сопротивление трансформатора, приведенное к вторичной обмотке, Ом (указывается в инструкциях по эксплуатации аппаратов);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 сопротивление одной жилы кабеля, Ом/м (принимается равным 0,008; 0,005; 0,0033 и 0,002 Ом/м для кабелей с сечением жил 2,5; 4; 6 и 10 мм</w:t>
      </w:r>
      <w:r w:rsidRPr="00A07504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соответственно).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7. Приведенная длина кабельных линий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</m:oMath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с учетом сопротивления контактов и элементов аппаратов и переходного сопротивления в месте к.з. определяется по формуле: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пр1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пр2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+...+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+(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+1)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e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  <w:t>(5)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…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</w:t>
      </w:r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фактические длины кабелей, имеющие отличающуюся площадь сечения жил, м;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пр1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…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 коэффициенты приведения;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k</m:t>
        </m:r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– число коммутационных аппаратов, последовательно включенных в цепь к.з., учитывая автоматический выключатель передвижной трансформаторной подстанции;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e</m:t>
            </m:r>
          </m:sub>
        </m:sSub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>=10 м – приведенная длина кабельной линии, эквивалентная переходному сопротивлению в точке к.з. и сопротивлению элементов коммутационных аппаратов.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8. При проверке значения уставки тока срабатывания защиты аппарата, защищающего питающий кабель и электрооборудование горных машин с многодвигательным приводом, к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</m:oMath>
      <w:r w:rsidRPr="00A07504">
        <w:rPr>
          <w:rFonts w:eastAsia="Times New Roman"/>
          <w:iCs/>
          <w:color w:val="000000"/>
          <w:sz w:val="28"/>
          <w:szCs w:val="28"/>
          <w:lang w:eastAsia="ru-RU"/>
        </w:rPr>
        <w:t>,</w:t>
      </w:r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определенной по формуле (5), прибавляется приведенная длина кабеля площадью сечения жил 50 мм</w:t>
      </w:r>
      <w:r w:rsidRPr="00A07504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, токоограничивающее воздействие которого эквивалентно включению в сеть элементов внутреннего монтажа. Значение этой величины указывается в инструкциях по эксплуатации производителя машин.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9. Расчет тока к.з.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к.з.min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(2)</m:t>
            </m:r>
          </m:sup>
        </m:sSubSup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 в осветительных сетях выполняется с учетом сопротивления контактов, определяемого сложением значений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</m:oMath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и 2</w:t>
      </w:r>
      <w:r w:rsidRPr="00A07504">
        <w:rPr>
          <w:rFonts w:eastAsia="Times New Roman"/>
          <w:i/>
          <w:color w:val="000000"/>
          <w:sz w:val="28"/>
          <w:szCs w:val="28"/>
          <w:lang w:val="en-US" w:eastAsia="ru-RU"/>
        </w:rPr>
        <w:t>n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, где </w:t>
      </w:r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>п</w:t>
      </w:r>
      <w:r w:rsidRPr="00A07504">
        <w:rPr>
          <w:rFonts w:eastAsia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>– число светильников и тройниковых муфт в цепи к.з. в сети освещения.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A07504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vertAlign w:val="subscript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10. Значение максимального тока трехфазного к.з. на вводе аппарата определяется по формуле: </w:t>
      </w:r>
    </w:p>
    <w:p w:rsidR="00A07504" w:rsidRPr="00A07504" w:rsidRDefault="00A07504" w:rsidP="00A07504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к.з.min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(3)</m:t>
            </m:r>
          </m:sup>
        </m:sSub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=1,6</m:t>
        </m:r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к.з.min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(2)</m:t>
            </m:r>
          </m:sup>
        </m:sSubSup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</w:r>
      <w:r w:rsidRPr="00A07504">
        <w:rPr>
          <w:rFonts w:eastAsia="Times New Roman"/>
          <w:color w:val="000000"/>
          <w:sz w:val="28"/>
          <w:szCs w:val="28"/>
          <w:lang w:eastAsia="ru-RU"/>
        </w:rPr>
        <w:tab/>
        <w:t>(6)</w:t>
      </w:r>
    </w:p>
    <w:p w:rsidR="00A07504" w:rsidRPr="00A07504" w:rsidRDefault="00A07504" w:rsidP="00A07504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11. Коэффициенты приведения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пр</m:t>
            </m:r>
          </m:sub>
        </m:sSub>
      </m:oMath>
      <w:r w:rsidRPr="00A0750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7504">
        <w:rPr>
          <w:rFonts w:eastAsia="Times New Roman"/>
          <w:color w:val="000000"/>
          <w:sz w:val="28"/>
          <w:szCs w:val="28"/>
          <w:lang w:eastAsia="ru-RU"/>
        </w:rPr>
        <w:t xml:space="preserve">плоскости сечений кабелей для определения расчетных минимальных токов к.з.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к.з.min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(2)</m:t>
            </m:r>
          </m:sup>
        </m:sSubSup>
      </m:oMath>
      <w:r w:rsidRPr="00A07504">
        <w:rPr>
          <w:rFonts w:eastAsia="Times New Roman"/>
          <w:color w:val="000000"/>
          <w:sz w:val="28"/>
          <w:szCs w:val="28"/>
          <w:lang w:eastAsia="ru-RU"/>
        </w:rPr>
        <w:t>приведены в таблице.</w:t>
      </w:r>
    </w:p>
    <w:p w:rsidR="00212810" w:rsidRPr="00212810" w:rsidRDefault="00A07504" w:rsidP="00A07504">
      <w:pPr>
        <w:jc w:val="both"/>
        <w:rPr>
          <w:sz w:val="28"/>
          <w:szCs w:val="28"/>
        </w:rPr>
      </w:pPr>
      <w:r w:rsidRPr="00A07504">
        <w:rPr>
          <w:rFonts w:eastAsia="Times New Roman"/>
          <w:color w:val="000000"/>
          <w:sz w:val="28"/>
          <w:szCs w:val="28"/>
          <w:lang w:eastAsia="ru-RU"/>
        </w:rPr>
        <w:t>12. Значение тока двухфазного к.з. в сетях с частотно-регулируемым приводом и приводом с плавным пуском принимается в соответствии с инструкцией по эксплуатации производителя частотного преобразователя и устройства плавного пуска.</w:t>
      </w: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EC" w:rsidRDefault="007E1FEC" w:rsidP="00947569">
      <w:r>
        <w:separator/>
      </w:r>
    </w:p>
  </w:endnote>
  <w:endnote w:type="continuationSeparator" w:id="0">
    <w:p w:rsidR="007E1FEC" w:rsidRDefault="007E1FEC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EC" w:rsidRDefault="007E1FEC" w:rsidP="00947569">
      <w:r>
        <w:separator/>
      </w:r>
    </w:p>
  </w:footnote>
  <w:footnote w:type="continuationSeparator" w:id="0">
    <w:p w:rsidR="007E1FEC" w:rsidRDefault="007E1FEC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A07504">
          <w:rPr>
            <w:noProof/>
          </w:rPr>
          <w:t>3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C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7E1FEC"/>
    <w:rsid w:val="008707C4"/>
    <w:rsid w:val="00947569"/>
    <w:rsid w:val="009A3267"/>
    <w:rsid w:val="009E7B00"/>
    <w:rsid w:val="00A061CB"/>
    <w:rsid w:val="00A07504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>diakov.net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2017-03-27T13:28:00Z</dcterms:created>
  <dcterms:modified xsi:type="dcterms:W3CDTF">2017-03-27T13:29:00Z</dcterms:modified>
</cp:coreProperties>
</file>