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8EEC" w14:textId="77777777" w:rsidR="009C0F48" w:rsidRPr="00506ECE" w:rsidRDefault="00907C30">
      <w:pPr>
        <w:pStyle w:val="1"/>
        <w:shd w:val="clear" w:color="auto" w:fill="auto"/>
        <w:spacing w:after="0" w:line="276" w:lineRule="auto"/>
        <w:ind w:left="4820" w:firstLine="0"/>
        <w:rPr>
          <w:color w:val="auto"/>
        </w:rPr>
      </w:pPr>
      <w:r w:rsidRPr="00506ECE">
        <w:rPr>
          <w:color w:val="auto"/>
        </w:rPr>
        <w:t>Приложение</w:t>
      </w:r>
    </w:p>
    <w:p w14:paraId="70A8D9A5" w14:textId="77777777" w:rsidR="00506ECE" w:rsidRDefault="00907C30" w:rsidP="00506ECE">
      <w:pPr>
        <w:pStyle w:val="1"/>
        <w:shd w:val="clear" w:color="auto" w:fill="auto"/>
        <w:spacing w:after="0" w:line="276" w:lineRule="auto"/>
        <w:ind w:left="4820" w:firstLine="0"/>
        <w:rPr>
          <w:color w:val="auto"/>
        </w:rPr>
      </w:pPr>
      <w:r w:rsidRPr="00506ECE">
        <w:rPr>
          <w:color w:val="auto"/>
        </w:rPr>
        <w:t xml:space="preserve">к </w:t>
      </w:r>
      <w:r w:rsidRPr="00506ECE">
        <w:rPr>
          <w:color w:val="auto"/>
        </w:rPr>
        <w:t xml:space="preserve">Постановлению Народного Совета Донецкой Народной Республики </w:t>
      </w:r>
    </w:p>
    <w:p w14:paraId="45D8B718" w14:textId="458DEC23" w:rsidR="009C0F48" w:rsidRPr="00506ECE" w:rsidRDefault="00907C30">
      <w:pPr>
        <w:pStyle w:val="1"/>
        <w:shd w:val="clear" w:color="auto" w:fill="auto"/>
        <w:spacing w:after="640" w:line="276" w:lineRule="auto"/>
        <w:ind w:left="4820" w:firstLine="0"/>
        <w:rPr>
          <w:color w:val="auto"/>
        </w:rPr>
      </w:pPr>
      <w:r w:rsidRPr="00506ECE">
        <w:rPr>
          <w:color w:val="auto"/>
        </w:rPr>
        <w:t>от 11 августа 2017 года № 1-879П-НС</w:t>
      </w:r>
    </w:p>
    <w:p w14:paraId="25F4F8E0" w14:textId="77777777" w:rsidR="009C0F48" w:rsidRPr="00506ECE" w:rsidRDefault="00907C30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r w:rsidRPr="00506ECE">
        <w:rPr>
          <w:b/>
          <w:bCs/>
          <w:color w:val="auto"/>
        </w:rPr>
        <w:t>РЕГЛАМЕНТ ПРОВЕДЕНИЯ В НАРОДНОМ СОВЕТЕ</w:t>
      </w:r>
      <w:r w:rsidRPr="00506ECE">
        <w:rPr>
          <w:b/>
          <w:bCs/>
          <w:color w:val="auto"/>
        </w:rPr>
        <w:br/>
        <w:t>ДОНЕЦКОЙ НАРОДНОЙ РЕСПУБЛИКИ ПАРЛАМЕНТСКИХ</w:t>
      </w:r>
      <w:r w:rsidRPr="00506ECE">
        <w:rPr>
          <w:b/>
          <w:bCs/>
          <w:color w:val="auto"/>
        </w:rPr>
        <w:br/>
        <w:t>СЛУШАНИЙ НА ТЕМУ</w:t>
      </w:r>
    </w:p>
    <w:p w14:paraId="41FC6518" w14:textId="77777777" w:rsidR="009C0F48" w:rsidRPr="00506ECE" w:rsidRDefault="00907C30">
      <w:pPr>
        <w:pStyle w:val="1"/>
        <w:shd w:val="clear" w:color="auto" w:fill="auto"/>
        <w:spacing w:after="480" w:line="240" w:lineRule="auto"/>
        <w:ind w:firstLine="0"/>
        <w:jc w:val="center"/>
        <w:rPr>
          <w:color w:val="auto"/>
        </w:rPr>
      </w:pPr>
      <w:r w:rsidRPr="00506ECE">
        <w:rPr>
          <w:b/>
          <w:bCs/>
          <w:color w:val="auto"/>
        </w:rPr>
        <w:t xml:space="preserve">«Концепция осуществления страховой деятельности в </w:t>
      </w:r>
      <w:r w:rsidRPr="00506ECE">
        <w:rPr>
          <w:b/>
          <w:bCs/>
          <w:color w:val="auto"/>
        </w:rPr>
        <w:t>Донецкой Народной</w:t>
      </w:r>
      <w:r w:rsidRPr="00506ECE">
        <w:rPr>
          <w:b/>
          <w:bCs/>
          <w:color w:val="auto"/>
        </w:rPr>
        <w:br/>
        <w:t>Республике. ОСАГО»</w:t>
      </w:r>
    </w:p>
    <w:p w14:paraId="0ABF1AA5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В парламентских слушаниях принимают участие депутаты Народного Совета Донецкой Народной Республики и лица, получившие официальное приглашение на участие. Ход слушаний может освещаться средствами массовой информации.</w:t>
      </w:r>
    </w:p>
    <w:p w14:paraId="606DE602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Рег</w:t>
      </w:r>
      <w:r w:rsidRPr="00506ECE">
        <w:rPr>
          <w:color w:val="auto"/>
        </w:rPr>
        <w:t>истрация докладчиков осуществляется путём подачи ими письменных заявок и тезисов своих выступлений в Аппарат Народного Совета Донецкой Народной Республики по электронной почте. Приём тезисов выступлений производится до 16 августа 2017 года включительно.</w:t>
      </w:r>
    </w:p>
    <w:p w14:paraId="731DD229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Уч</w:t>
      </w:r>
      <w:r w:rsidRPr="00506ECE">
        <w:rPr>
          <w:color w:val="auto"/>
        </w:rPr>
        <w:t>астники, не предоставившие тезисы выступлений в указанный срок, в список выступающих</w:t>
      </w:r>
      <w:bookmarkStart w:id="0" w:name="_GoBack"/>
      <w:bookmarkEnd w:id="0"/>
      <w:r w:rsidRPr="00506ECE">
        <w:rPr>
          <w:color w:val="auto"/>
        </w:rPr>
        <w:t xml:space="preserve"> не вносятся и принимают участие только в прениях. Регистрация участников оканчивается в 16 часов 00 минут 16 августа 2017 года.</w:t>
      </w:r>
    </w:p>
    <w:p w14:paraId="5A145D43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line="283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Начало парламентских слушаний - 13 часов 30</w:t>
      </w:r>
      <w:r w:rsidRPr="00506ECE">
        <w:rPr>
          <w:color w:val="auto"/>
        </w:rPr>
        <w:t xml:space="preserve"> минут 18 августа 2017 года.</w:t>
      </w:r>
    </w:p>
    <w:p w14:paraId="5A4AC29B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48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Утверждение регламента проведения слушаний. Оглашение списка лиц, записавшихся на выступления.</w:t>
      </w:r>
    </w:p>
    <w:p w14:paraId="0118AA66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43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Выступления участников слушаний. Продолжительность выступлений устанавливается не более 10 минут для доклада и 5 минут для содоклада</w:t>
      </w:r>
      <w:r w:rsidRPr="00506ECE">
        <w:rPr>
          <w:color w:val="auto"/>
        </w:rPr>
        <w:t>.</w:t>
      </w:r>
    </w:p>
    <w:p w14:paraId="2A4DC8B9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48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>Прения. Продолжительность выступлений в прениях для участников не должна превышать 3 минут.</w:t>
      </w:r>
    </w:p>
    <w:p w14:paraId="051A277F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line="276" w:lineRule="auto"/>
        <w:ind w:firstLine="740"/>
        <w:jc w:val="both"/>
        <w:rPr>
          <w:color w:val="auto"/>
        </w:rPr>
      </w:pPr>
      <w:r w:rsidRPr="00506ECE">
        <w:rPr>
          <w:color w:val="auto"/>
        </w:rPr>
        <w:t xml:space="preserve">Порядок выступлений в слушаниях устанавливается председательствующим на слушаниях, который имеет право на внеочередное выступление. Выступления </w:t>
      </w:r>
      <w:r w:rsidRPr="00506ECE">
        <w:rPr>
          <w:color w:val="auto"/>
        </w:rPr>
        <w:t>осуществляются участниками по решению председательствующего.</w:t>
      </w:r>
    </w:p>
    <w:p w14:paraId="5769DA49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spacing w:line="276" w:lineRule="auto"/>
        <w:ind w:firstLine="720"/>
        <w:rPr>
          <w:color w:val="auto"/>
        </w:rPr>
      </w:pPr>
      <w:r w:rsidRPr="00506ECE">
        <w:rPr>
          <w:color w:val="auto"/>
        </w:rPr>
        <w:t>Оглашение и голосование по проекту итогового документа.</w:t>
      </w:r>
      <w:r w:rsidRPr="00506ECE">
        <w:rPr>
          <w:color w:val="auto"/>
        </w:rPr>
        <w:br w:type="page"/>
      </w:r>
    </w:p>
    <w:p w14:paraId="12E80BFC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203"/>
        </w:tabs>
        <w:spacing w:after="120" w:line="271" w:lineRule="auto"/>
        <w:ind w:firstLine="760"/>
        <w:rPr>
          <w:color w:val="auto"/>
        </w:rPr>
      </w:pPr>
      <w:r w:rsidRPr="00506ECE">
        <w:rPr>
          <w:color w:val="auto"/>
        </w:rPr>
        <w:lastRenderedPageBreak/>
        <w:t>Все решения принимаются большинством голосов участников слушаний.</w:t>
      </w:r>
    </w:p>
    <w:p w14:paraId="6B207C17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120" w:line="271" w:lineRule="auto"/>
        <w:ind w:firstLine="760"/>
        <w:rPr>
          <w:color w:val="auto"/>
        </w:rPr>
      </w:pPr>
      <w:r w:rsidRPr="00506ECE">
        <w:rPr>
          <w:color w:val="auto"/>
        </w:rPr>
        <w:t>Продолжительность выступлений может быть увеличена решением участников с</w:t>
      </w:r>
      <w:r w:rsidRPr="00506ECE">
        <w:rPr>
          <w:color w:val="auto"/>
        </w:rPr>
        <w:t>лушаний, принятым большинством голосов.</w:t>
      </w:r>
    </w:p>
    <w:p w14:paraId="58456B60" w14:textId="77777777" w:rsidR="009C0F48" w:rsidRPr="00506ECE" w:rsidRDefault="00907C30">
      <w:pPr>
        <w:pStyle w:val="1"/>
        <w:numPr>
          <w:ilvl w:val="0"/>
          <w:numId w:val="3"/>
        </w:numPr>
        <w:shd w:val="clear" w:color="auto" w:fill="auto"/>
        <w:tabs>
          <w:tab w:val="left" w:pos="1253"/>
        </w:tabs>
        <w:spacing w:after="120" w:line="271" w:lineRule="auto"/>
        <w:ind w:firstLine="760"/>
        <w:rPr>
          <w:color w:val="auto"/>
        </w:rPr>
      </w:pPr>
      <w:r w:rsidRPr="00506ECE">
        <w:rPr>
          <w:color w:val="auto"/>
        </w:rPr>
        <w:t>Заключительное слово продолжительностью не более 5 минут.</w:t>
      </w:r>
    </w:p>
    <w:sectPr w:rsidR="009C0F48" w:rsidRPr="00506ECE">
      <w:headerReference w:type="even" r:id="rId7"/>
      <w:headerReference w:type="default" r:id="rId8"/>
      <w:pgSz w:w="11900" w:h="16840"/>
      <w:pgMar w:top="1150" w:right="528" w:bottom="1212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78C1" w14:textId="77777777" w:rsidR="00907C30" w:rsidRDefault="00907C30">
      <w:r>
        <w:separator/>
      </w:r>
    </w:p>
  </w:endnote>
  <w:endnote w:type="continuationSeparator" w:id="0">
    <w:p w14:paraId="5F3F6437" w14:textId="77777777" w:rsidR="00907C30" w:rsidRDefault="009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53BF" w14:textId="77777777" w:rsidR="00907C30" w:rsidRDefault="00907C30"/>
  </w:footnote>
  <w:footnote w:type="continuationSeparator" w:id="0">
    <w:p w14:paraId="33796CB8" w14:textId="77777777" w:rsidR="00907C30" w:rsidRDefault="00907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4E08" w14:textId="77777777" w:rsidR="009C0F48" w:rsidRDefault="009C0F4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2C56" w14:textId="77777777" w:rsidR="009C0F48" w:rsidRDefault="00907C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170CB97" wp14:editId="0F3F6575">
              <wp:simplePos x="0" y="0"/>
              <wp:positionH relativeFrom="page">
                <wp:posOffset>4101465</wp:posOffset>
              </wp:positionH>
              <wp:positionV relativeFrom="page">
                <wp:posOffset>450215</wp:posOffset>
              </wp:positionV>
              <wp:extent cx="54610" cy="10350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8A5BAC" w14:textId="77777777" w:rsidR="009C0F48" w:rsidRDefault="00907C30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B3B47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0CB97" id="_x0000_t202" coordsize="21600,21600" o:spt="202" path="m,l,21600r21600,l21600,xe">
              <v:stroke joinstyle="miter"/>
              <v:path gradientshapeok="t" o:connecttype="rect"/>
            </v:shapetype>
            <v:shape id="Shape 14" o:spid="_x0000_s1026" type="#_x0000_t202" style="position:absolute;margin-left:322.95pt;margin-top:35.45pt;width:4.3pt;height:8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" filled="f" stroked="f">
              <v:textbox style="mso-fit-shape-to-text:t" inset="0,0,0,0">
                <w:txbxContent>
                  <w:p w14:paraId="478A5BAC" w14:textId="77777777" w:rsidR="009C0F48" w:rsidRDefault="00907C30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B3B47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322E7"/>
    <w:multiLevelType w:val="multilevel"/>
    <w:tmpl w:val="57EEC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45B03"/>
    <w:multiLevelType w:val="multilevel"/>
    <w:tmpl w:val="968AC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D94E07"/>
    <w:multiLevelType w:val="multilevel"/>
    <w:tmpl w:val="6EAE8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48"/>
    <w:rsid w:val="00506ECE"/>
    <w:rsid w:val="00907C30"/>
    <w:rsid w:val="009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6984"/>
  <w15:docId w15:val="{02D48525-36FA-4C2C-998C-802AF0A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47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47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4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47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47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78" w:lineRule="auto"/>
      <w:ind w:firstLine="400"/>
    </w:pPr>
    <w:rPr>
      <w:rFonts w:ascii="Times New Roman" w:eastAsia="Times New Roman" w:hAnsi="Times New Roman" w:cs="Times New Roman"/>
      <w:color w:val="3B3B47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3B3B47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color w:val="3B3B47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B3B47"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3B3B47"/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2020-09-03T13:23:00Z</dcterms:created>
  <dcterms:modified xsi:type="dcterms:W3CDTF">2020-09-03T13:24:00Z</dcterms:modified>
</cp:coreProperties>
</file>