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212121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Распоряжению Главы Донецкой Народной </w:t>
      </w:r>
      <w:r>
        <w:rPr>
          <w:color w:val="212121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Республики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17 июля 2018 </w:t>
      </w:r>
      <w:r>
        <w:rPr>
          <w:color w:val="212121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№ 247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предприятий,</w:t>
        <w:br/>
        <w:t>выполняющих работы по текущему ремонту автодорог,</w:t>
        <w:br/>
        <w:t>находящихся в муниципальной (коммунальной) собственности городов</w:t>
        <w:br/>
        <w:t>Донецкой Народной Республики</w:t>
        <w:br/>
        <w:t>в 3 квартале 2018 года</w:t>
      </w:r>
    </w:p>
    <w:tbl>
      <w:tblPr>
        <w:tblOverlap w:val="never"/>
        <w:jc w:val="center"/>
        <w:tblLayout w:type="fixed"/>
      </w:tblPr>
      <w:tblGrid>
        <w:gridCol w:w="2573"/>
        <w:gridCol w:w="1867"/>
        <w:gridCol w:w="1565"/>
      </w:tblGrid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подрядчика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территории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Сумма, рос. руб.</w:t>
            </w:r>
          </w:p>
        </w:tc>
      </w:tr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КП "ДРСУ"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Донецк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20 000 000,00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Макеевка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10 000 000,00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Харцызск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10 000 000,00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Ясиноватая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5 000 000,00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КП «Простор»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1212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Горловка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6 000 000,00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51 000 000,00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02" w:left="1992" w:right="909" w:bottom="1102" w:header="674" w:footer="67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860"/>
      <w:ind w:left="55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