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4" w:rsidRPr="00C06BAC" w:rsidRDefault="006F659B" w:rsidP="00320634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320634">
        <w:rPr>
          <w:rFonts w:ascii="Times New Roman" w:hAnsi="Times New Roman" w:cs="Times New Roman"/>
          <w:sz w:val="24"/>
          <w:szCs w:val="28"/>
        </w:rPr>
        <w:t>Прилож</w:t>
      </w:r>
      <w:bookmarkEnd w:id="0"/>
      <w:r w:rsidRPr="00320634">
        <w:rPr>
          <w:rFonts w:ascii="Times New Roman" w:hAnsi="Times New Roman" w:cs="Times New Roman"/>
          <w:sz w:val="24"/>
          <w:szCs w:val="28"/>
        </w:rPr>
        <w:t xml:space="preserve">ение </w:t>
      </w:r>
      <w:r w:rsidR="00E5589C">
        <w:rPr>
          <w:rFonts w:ascii="Times New Roman" w:hAnsi="Times New Roman" w:cs="Times New Roman"/>
          <w:sz w:val="24"/>
          <w:szCs w:val="28"/>
        </w:rPr>
        <w:t>1</w:t>
      </w:r>
      <w:r w:rsidR="003F455C">
        <w:rPr>
          <w:rFonts w:ascii="Times New Roman" w:hAnsi="Times New Roman" w:cs="Times New Roman"/>
          <w:sz w:val="24"/>
          <w:szCs w:val="28"/>
        </w:rPr>
        <w:t>3</w:t>
      </w:r>
      <w:r w:rsidR="00E32823" w:rsidRPr="00E32823">
        <w:rPr>
          <w:rFonts w:ascii="Times New Roman" w:hAnsi="Times New Roman" w:cs="Times New Roman"/>
          <w:sz w:val="24"/>
          <w:szCs w:val="28"/>
        </w:rPr>
        <w:t xml:space="preserve"> </w:t>
      </w:r>
      <w:r w:rsidR="00320634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6C3096" w:rsidRPr="006C3096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320634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6F659B" w:rsidRPr="000E6CE3" w:rsidRDefault="00320634" w:rsidP="00320634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</w:t>
      </w:r>
      <w:r w:rsidR="00E5589C" w:rsidRPr="00E5589C">
        <w:rPr>
          <w:rFonts w:ascii="Times New Roman" w:hAnsi="Times New Roman" w:cs="Times New Roman"/>
          <w:sz w:val="24"/>
          <w:szCs w:val="28"/>
        </w:rPr>
        <w:t>пункт 6 главы 9 раздела VI</w:t>
      </w:r>
      <w:r w:rsidR="00E5589C">
        <w:rPr>
          <w:rFonts w:ascii="Times New Roman" w:hAnsi="Times New Roman" w:cs="Times New Roman"/>
          <w:sz w:val="24"/>
          <w:szCs w:val="28"/>
        </w:rPr>
        <w:t>)</w:t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24"/>
      <w:bookmarkEnd w:id="1"/>
      <w:r w:rsidRPr="000E6CE3">
        <w:rPr>
          <w:rFonts w:ascii="Times New Roman" w:hAnsi="Times New Roman" w:cs="Times New Roman"/>
          <w:sz w:val="28"/>
          <w:szCs w:val="28"/>
        </w:rPr>
        <w:t>ПРЕДЕЛЬНЫЕ ВЕЛИЧИНЫ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ОТКЛОНЕНИЙ РЕЛЬСОВОГО ПУТИ ОТ ПРОЕКТНОГО ПОЛОЖЕНИЯ В ПЛАНЕ И ПРОФИЛЕ</w:t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2371"/>
        <w:gridCol w:w="1070"/>
        <w:gridCol w:w="1134"/>
        <w:gridCol w:w="1056"/>
        <w:gridCol w:w="1260"/>
        <w:gridCol w:w="1618"/>
      </w:tblGrid>
      <w:tr w:rsidR="006F659B" w:rsidRPr="000E6CE3" w:rsidTr="00961809">
        <w:tc>
          <w:tcPr>
            <w:tcW w:w="174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Отклонение, мм</w:t>
            </w:r>
          </w:p>
        </w:tc>
        <w:tc>
          <w:tcPr>
            <w:tcW w:w="2371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Графическое представление отклонения</w:t>
            </w:r>
          </w:p>
        </w:tc>
        <w:tc>
          <w:tcPr>
            <w:tcW w:w="6138" w:type="dxa"/>
            <w:gridSpan w:val="5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Тип кранов</w:t>
            </w:r>
          </w:p>
        </w:tc>
      </w:tr>
      <w:tr w:rsidR="006F659B" w:rsidRPr="000E6CE3" w:rsidTr="00961809">
        <w:tc>
          <w:tcPr>
            <w:tcW w:w="174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2371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мостовые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башенные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козловые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портальные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мостовые перегружатели</w:t>
            </w:r>
          </w:p>
        </w:tc>
      </w:tr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отметок головок рельсов в одном поперечном сечении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625" cy="246380"/>
                  <wp:effectExtent l="0" t="0" r="0" b="0"/>
                  <wp:docPr id="1" name="Рисунок 1" descr="base_1_198460_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8460_2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S - размер колеи (пролет)</w:t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6035" cy="508635"/>
                  <wp:effectExtent l="0" t="0" r="0" b="0"/>
                  <wp:docPr id="2" name="Рисунок 2" descr="base_1_198460_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8460_2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Разность отметок рельсов на соседних колоннах 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3" name="Рисунок 3" descr="base_1_198460_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198460_2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6035" cy="524510"/>
                  <wp:effectExtent l="0" t="0" r="0" b="0"/>
                  <wp:docPr id="4" name="Рисунок 4" descr="base_1_198460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198460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Сужение или расширение колеи рельсового пути (отклонение размера пролета - S в плане)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5" name="Рисунок 5" descr="base_1_198460_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1_198460_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8415" cy="556895"/>
                  <wp:effectExtent l="0" t="0" r="0" b="0"/>
                  <wp:docPr id="6" name="Рисунок 6" descr="base_1_198460_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1_198460_2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63FEC" w:rsidRDefault="00F63FEC" w:rsidP="00E5589C">
      <w:pPr>
        <w:ind w:left="6521"/>
        <w:rPr>
          <w:sz w:val="24"/>
        </w:rPr>
      </w:pPr>
    </w:p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tbl>
      <w:tblPr>
        <w:tblW w:w="102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2371"/>
        <w:gridCol w:w="1070"/>
        <w:gridCol w:w="1134"/>
        <w:gridCol w:w="1056"/>
        <w:gridCol w:w="1260"/>
        <w:gridCol w:w="1618"/>
      </w:tblGrid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Взаимное смещение торцов стыкуемых рельсов в плане и по высоте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7" name="Рисунок 7" descr="base_1_198460_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198460_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8415" cy="596265"/>
                  <wp:effectExtent l="0" t="0" r="0" b="0"/>
                  <wp:docPr id="8" name="Рисунок 8" descr="base_1_198460_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198460_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Зазоры в стыках рельсов при температуре 0 °C и длине рельса 12,5 м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9" name="Рисунок 9" descr="base_1_198460_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198460_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8415" cy="548640"/>
                  <wp:effectExtent l="0" t="0" r="0" b="0"/>
                  <wp:docPr id="10" name="Рисунок 10" descr="base_1_198460_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98460_2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gridSpan w:val="5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59B" w:rsidRPr="000E6CE3" w:rsidTr="00961809">
        <w:tc>
          <w:tcPr>
            <w:tcW w:w="1740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высотных отметок головок рельсов на длине 10 м кранового пути (общая)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246380"/>
                  <wp:effectExtent l="0" t="0" r="0" b="0"/>
                  <wp:docPr id="11" name="Рисунок 11" descr="base_1_198460_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98460_2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96035" cy="476885"/>
                  <wp:effectExtent l="0" t="0" r="0" b="0"/>
                  <wp:docPr id="12" name="Рисунок 12" descr="base_1_198460_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198460_2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6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Примечания.</w:t>
      </w:r>
    </w:p>
    <w:p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1. Измерения отклонений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625" cy="246380"/>
            <wp:effectExtent l="0" t="0" r="0" b="0"/>
            <wp:docPr id="13" name="Рисунок 13" descr="base_1_198460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98460_2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14" name="Рисунок 14" descr="base_1_198460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98460_21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выполняют на всем участке возможного движения ПС через интервалы не более 5 м.</w:t>
      </w:r>
    </w:p>
    <w:p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2. При изменении температуры на каждые 10 °C устанавливаемый при устройстве зазор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15" name="Рисунок 15" descr="base_1_198460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98460_21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изменяют на 1,5 мм, например при температуре плюс 20 °C установленный зазор между рельсами должен быть равен 3 мм, а при температуре минус 10 °C - 7,5 мм.</w:t>
      </w:r>
    </w:p>
    <w:p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3. Величины отклонений для козловых кранов пролетом 30 м и более принимают, как для кранов-перегружателей.</w:t>
      </w:r>
    </w:p>
    <w:p w:rsidR="006F659B" w:rsidRPr="000E6CE3" w:rsidRDefault="006F659B" w:rsidP="00E558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4. При установке импортного ПС, величина отклонения -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16" name="Рисунок 16" descr="base_1_198460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98460_22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должна быть приведена в соответствие с фактическим зазором между ребордами его ходовых колес (или направляющими роликами, при безребордных колесах) и головкой рельса. Если, например, этот зазор составляет 15 мм, то отклонение </w:t>
      </w: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17" name="Рисунок 17" descr="base_1_198460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98460_22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должно быть принято равным 7,5 мм.</w:t>
      </w:r>
    </w:p>
    <w:p w:rsidR="00E5589C" w:rsidRDefault="00E5589C" w:rsidP="00E5589C">
      <w:pPr>
        <w:rPr>
          <w:sz w:val="24"/>
        </w:rPr>
      </w:pPr>
    </w:p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982"/>
      <w:bookmarkEnd w:id="2"/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84"/>
      <w:bookmarkEnd w:id="3"/>
      <w:r w:rsidRPr="000E6CE3">
        <w:rPr>
          <w:rFonts w:ascii="Times New Roman" w:hAnsi="Times New Roman" w:cs="Times New Roman"/>
          <w:sz w:val="28"/>
          <w:szCs w:val="28"/>
        </w:rPr>
        <w:t>Число обрывов проволок, при наличии которых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бракуются стальные канаты ПС, работающие со стальными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 чугунными блоками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Число несущих проволок в наружных прядях</w:t>
            </w:r>
          </w:p>
        </w:tc>
        <w:tc>
          <w:tcPr>
            <w:tcW w:w="1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Конструкции канатов</w:t>
            </w:r>
          </w:p>
        </w:tc>
        <w:tc>
          <w:tcPr>
            <w:tcW w:w="85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Тип свивки</w:t>
            </w:r>
          </w:p>
        </w:tc>
        <w:tc>
          <w:tcPr>
            <w:tcW w:w="5245" w:type="dxa"/>
            <w:gridSpan w:val="8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Группа классификации (режима) механизма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2552" w:type="dxa"/>
            <w:gridSpan w:val="4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М1, М2, М3 и М4</w:t>
            </w:r>
          </w:p>
        </w:tc>
        <w:tc>
          <w:tcPr>
            <w:tcW w:w="2693" w:type="dxa"/>
            <w:gridSpan w:val="4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М5, М6, М7 и М8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Крестовая свивка</w:t>
            </w:r>
          </w:p>
        </w:tc>
        <w:tc>
          <w:tcPr>
            <w:tcW w:w="1276" w:type="dxa"/>
            <w:gridSpan w:val="2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Односторонняя свивка</w:t>
            </w:r>
          </w:p>
        </w:tc>
        <w:tc>
          <w:tcPr>
            <w:tcW w:w="1386" w:type="dxa"/>
            <w:gridSpan w:val="2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Крестовая свивка</w:t>
            </w:r>
          </w:p>
        </w:tc>
        <w:tc>
          <w:tcPr>
            <w:tcW w:w="1307" w:type="dxa"/>
            <w:gridSpan w:val="2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Односторонняя свивка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245" w:type="dxa"/>
            <w:gridSpan w:val="8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участке длиной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30d</w:t>
            </w: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18" name="Рисунок 18" descr="base_1_198460_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1_198460_2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7(6 / 1)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7(1 + 6) + 1 x 7(1 + 6)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7(1 + 6)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6(0 + 6) + 9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19" name="Рисунок 19" descr="base_1_198460_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198460_2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0" name="Рисунок 20" descr="base_1_198460_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1_198460_2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19(9 / 9 / 1)*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 + 9 + 9)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 + 9 + 9) + 7 x 7(1 + 6)*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1" name="Рисунок 21" descr="base_1_198460_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1_198460_2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2" name="Рисунок 22" descr="base_1_198460_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1_198460_2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 x 7(1 + 6)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ЛК-О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3" name="Рисунок 23" descr="base_1_198460_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1_198460_2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4" name="Рисунок 24" descr="base_1_198460_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1_198460_2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19(9 / 9 / 1)*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5589C" w:rsidRDefault="00E5589C"/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19(12 / 6 / 1)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19(12 / 6 + 6F / 1)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25FS(12 / 12 / 1)*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 + 6 + 6 / 6) + 7 x 7(1 + 6)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19(1 + 6 + 6 / 6)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25(1 + 6; 6 + 12)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ЛК-З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25(1 + 6; 6 + 12) + 7 x 7(1 + 6)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ЛК-З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121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5" name="Рисунок 25" descr="base_1_198460_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1_198460_2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6" name="Рисунок 26" descr="base_1_198460_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1_198460_2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16(0 + 5 + 11) + 9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141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7" name="Рисунок 27" descr="base_1_198460_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98460_2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8" name="Рисунок 28" descr="base_1_198460_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98460_2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19(12 / 6 + 6F / 1)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 x 19(1 + 6 + 6 / 6)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161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29" name="Рисунок 29" descr="base_1_198460_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198460_2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0" name="Рисунок 30" descr="base_1_198460_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198460_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36(14 / 7 + 7 / 7 / 1)*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30(0 + 15 + 15) + 7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ЛК-0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36(1 + 7 + 7 / 7 + 14) + 1 о.с.*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</w:tbl>
    <w:p w:rsidR="00E5589C" w:rsidRDefault="00E5589C"/>
    <w:p w:rsidR="00E5589C" w:rsidRDefault="00E5589C"/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1709"/>
        <w:gridCol w:w="850"/>
        <w:gridCol w:w="709"/>
        <w:gridCol w:w="567"/>
        <w:gridCol w:w="567"/>
        <w:gridCol w:w="709"/>
        <w:gridCol w:w="709"/>
        <w:gridCol w:w="677"/>
        <w:gridCol w:w="598"/>
        <w:gridCol w:w="709"/>
      </w:tblGrid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36(1 + 7 + 7 / 7 + 14) + 7 x 7(1 + 6)*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ЛК-РО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181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1" name="Рисунок 31" descr="base_1_198460_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198460_2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2" name="Рисунок 32" descr="base_1_198460_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base_1_198460_2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31(1 + 6 + 6 / 6 + 12)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31 (1 + 6 + 6 / 6 + 12) + 7 x 7(1 + 6)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37(1 + 6 + 15 + 15)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ТЛК-О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3" name="Рисунок 33" descr="base_1_198460_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base_1_198460_2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4" name="Рисунок 34" descr="base_1_198460_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base_1_198460_2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41(16 / 8 + 8 / 8 / 1)*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659B" w:rsidRPr="000E6CE3" w:rsidTr="00961809">
        <w:tc>
          <w:tcPr>
            <w:tcW w:w="1410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221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5" name="Рисунок 35" descr="base_1_198460_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base_1_198460_2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6" name="Рисунок 36" descr="base_1_198460_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base_1_198460_2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 x 37(18 / 12 / 6 / 1)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98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Merge w:val="restart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659B" w:rsidRPr="000E6CE3" w:rsidTr="00961809">
        <w:tc>
          <w:tcPr>
            <w:tcW w:w="1410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18 x 19(1 + 6 + 6 / 6) + 1 о.с.</w:t>
            </w: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ЛК-Р</w:t>
            </w: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677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598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  <w:tc>
          <w:tcPr>
            <w:tcW w:w="709" w:type="dxa"/>
            <w:vMerge/>
          </w:tcPr>
          <w:p w:rsidR="006F659B" w:rsidRPr="000E6CE3" w:rsidRDefault="006F659B" w:rsidP="00961809">
            <w:pPr>
              <w:spacing w:after="0" w:line="240" w:lineRule="auto"/>
            </w:pP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241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7" name="Рисунок 37" descr="base_1_198460_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e_1_198460_2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8" name="Рисунок 38" descr="base_1_198460_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base_1_198460_2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261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39" name="Рисунок 39" descr="base_1_198460_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base_1_198460_2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40" name="Рисунок 40" descr="base_1_198460_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base_1_198460_2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281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41" name="Рисунок 41" descr="base_1_198460_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base_1_198460_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42" name="Рисунок 42" descr="base_1_198460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base_1_198460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659B" w:rsidRPr="000E6CE3" w:rsidTr="00961809">
        <w:tc>
          <w:tcPr>
            <w:tcW w:w="141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0E6CE3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5255" cy="174625"/>
                  <wp:effectExtent l="0" t="0" r="0" b="0"/>
                  <wp:docPr id="43" name="Рисунок 43" descr="base_1_198460_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base_1_198460_2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</w:p>
        </w:tc>
        <w:tc>
          <w:tcPr>
            <w:tcW w:w="1709" w:type="dxa"/>
          </w:tcPr>
          <w:p w:rsidR="006F659B" w:rsidRPr="000E6CE3" w:rsidRDefault="006F659B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  <w:tc>
          <w:tcPr>
            <w:tcW w:w="56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0,02 N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  <w:tc>
          <w:tcPr>
            <w:tcW w:w="677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0,16 N</w:t>
            </w:r>
          </w:p>
        </w:tc>
        <w:tc>
          <w:tcPr>
            <w:tcW w:w="598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0,04 N</w:t>
            </w:r>
          </w:p>
        </w:tc>
        <w:tc>
          <w:tcPr>
            <w:tcW w:w="709" w:type="dxa"/>
          </w:tcPr>
          <w:p w:rsidR="006F659B" w:rsidRPr="000E6CE3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0,08 N</w:t>
            </w:r>
          </w:p>
        </w:tc>
      </w:tr>
    </w:tbl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Примечания.</w:t>
      </w:r>
    </w:p>
    <w:p w:rsidR="006F659B" w:rsidRPr="003D16C1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1. N - </w:t>
      </w:r>
      <w:r w:rsidRPr="003D16C1">
        <w:rPr>
          <w:rFonts w:ascii="Times New Roman" w:hAnsi="Times New Roman" w:cs="Times New Roman"/>
          <w:sz w:val="28"/>
          <w:szCs w:val="28"/>
        </w:rPr>
        <w:t>число несущих проволок в наружных прядях каната; d - диаметр каната, мм.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2. Если группа классификации механизма - М не указана в паспорте ПС, то ее определяют согласно приложению </w:t>
      </w:r>
      <w:r w:rsidR="00727191">
        <w:rPr>
          <w:rFonts w:ascii="Times New Roman" w:hAnsi="Times New Roman" w:cs="Times New Roman"/>
          <w:sz w:val="28"/>
          <w:szCs w:val="28"/>
        </w:rPr>
        <w:t>10</w:t>
      </w:r>
      <w:r w:rsidRPr="003D16C1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Pr="000E6CE3">
        <w:rPr>
          <w:rFonts w:ascii="Times New Roman" w:hAnsi="Times New Roman" w:cs="Times New Roman"/>
          <w:sz w:val="28"/>
          <w:szCs w:val="28"/>
        </w:rPr>
        <w:t>Правилам.</w:t>
      </w:r>
    </w:p>
    <w:p w:rsidR="00E5589C" w:rsidRDefault="00E5589C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3. Проволоки заполнения не считаются несущими, поэтому не подлежат учету. В канатах с несколькими слоями прядей учитываются проволоки только видимого наружного слоя. В канатах со стальным сердечником последний рассматривается как внутренняя прядь и не учитывается.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4. Число обрывов не следует путать с количеством оборванных концов проволок, которых может быть в 2 раза больше.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5. Для канатов конструкции с диаметром наружных проволок во внешних прядях, превышающим диаметр проволок нижележащих слоев, класс конструкции понижен и отмечен звездочкой.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6.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Такие канаты отбраковываются с учетом потери внутреннего сечения с применением методов неразрушающего контроля.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7. Незаполненные строки в графе </w:t>
      </w:r>
      <w:r w:rsidR="00E5589C">
        <w:rPr>
          <w:rFonts w:ascii="Times New Roman" w:hAnsi="Times New Roman" w:cs="Times New Roman"/>
          <w:sz w:val="28"/>
          <w:szCs w:val="28"/>
        </w:rPr>
        <w:t>«</w:t>
      </w:r>
      <w:r w:rsidRPr="000E6CE3">
        <w:rPr>
          <w:rFonts w:ascii="Times New Roman" w:hAnsi="Times New Roman" w:cs="Times New Roman"/>
          <w:sz w:val="28"/>
          <w:szCs w:val="28"/>
        </w:rPr>
        <w:t>Конструкции канатов</w:t>
      </w:r>
      <w:r w:rsidR="00E5589C">
        <w:rPr>
          <w:rFonts w:ascii="Times New Roman" w:hAnsi="Times New Roman" w:cs="Times New Roman"/>
          <w:sz w:val="28"/>
          <w:szCs w:val="28"/>
        </w:rPr>
        <w:t>»</w:t>
      </w:r>
      <w:r w:rsidR="0050702E" w:rsidRPr="000766A2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означают отсутствие конструкций канатов с соответствующим числом проволок. При появлении таких конструкций канатов, а также для канатов с общим числом проволок более 300 число обрывов проволок, при которых канат бракуется, определяется по формулам, приведенным в нижней строке таблицы, причем полученное значение округляется до целого в большую сторону.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5615" cy="1844675"/>
            <wp:effectExtent l="0" t="0" r="0" b="0"/>
            <wp:docPr id="44" name="Рисунок 44" descr="base_1_198460_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98460_24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212"/>
      <w:bookmarkEnd w:id="4"/>
      <w:r w:rsidRPr="000E6CE3">
        <w:rPr>
          <w:rFonts w:ascii="Times New Roman" w:hAnsi="Times New Roman" w:cs="Times New Roman"/>
          <w:sz w:val="28"/>
          <w:szCs w:val="28"/>
        </w:rPr>
        <w:t>Рисунок 4. Пример определения числа обрывов наружных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проволок стального каната:</w:t>
      </w:r>
    </w:p>
    <w:p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1 - на участке контроля у оборванной проволоки обнаружен только один конец, ответный конец оборванной проволоки отсутствует. Данный дефект соответствует одному обрыву;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2 - на участке контроля у оборванной проволоки в наличии два конца. Данный дефект соответствует одному обрыву;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3 - на участке контроля одна из проволок имеет двукратное нарушение целостности. Поскольку нарушения целостности принадлежат только одной проволоке, данный дефект суммарно соответствует одному обрыву</w:t>
      </w:r>
      <w:r w:rsidR="00E5589C">
        <w:rPr>
          <w:rFonts w:ascii="Times New Roman" w:hAnsi="Times New Roman" w:cs="Times New Roman"/>
          <w:sz w:val="28"/>
          <w:szCs w:val="28"/>
        </w:rPr>
        <w:t>.</w:t>
      </w:r>
    </w:p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714C5">
        <w:rPr>
          <w:rFonts w:ascii="Times New Roman" w:hAnsi="Times New Roman" w:cs="Times New Roman"/>
          <w:sz w:val="28"/>
          <w:szCs w:val="28"/>
        </w:rPr>
        <w:t>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2.</w:t>
      </w:r>
    </w:p>
    <w:p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При уменьшении первоначального диаметра наружных проволок в результате износа (см. рисунок 5, д) или коррозии (см. рисунок 6, д) на 40 процентов и более канат бракуется.</w:t>
      </w:r>
    </w:p>
    <w:p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Определение износа или коррозии проволок по диаметру производится с помощью микрометра или иного инструмента, обеспечивающего аналогичную точность.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 xml:space="preserve">При меньшем, чем указано в таблице 1, числе обрывов проволок, а также при наличии поверхностного износа проволок без их обрыва канат может быть допущен к работе при условии тщательного наблюдения </w:t>
      </w:r>
      <w:r w:rsidRPr="000E6CE3">
        <w:rPr>
          <w:rFonts w:ascii="Times New Roman" w:hAnsi="Times New Roman" w:cs="Times New Roman"/>
          <w:sz w:val="28"/>
          <w:szCs w:val="28"/>
        </w:rPr>
        <w:t>за его состоянием при периодических осмотрах с записью результатов в журнал осмотров и смены каната по достижении степени износа, указанной в таблице 2.</w:t>
      </w:r>
    </w:p>
    <w:p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F659B" w:rsidRPr="000E6CE3" w:rsidRDefault="006F659B" w:rsidP="006F65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26"/>
      <w:bookmarkEnd w:id="5"/>
      <w:r w:rsidRPr="000E6CE3">
        <w:rPr>
          <w:rFonts w:ascii="Times New Roman" w:hAnsi="Times New Roman" w:cs="Times New Roman"/>
          <w:sz w:val="28"/>
          <w:szCs w:val="28"/>
        </w:rPr>
        <w:t>Нормы браковки каната в зависимости от поверхностного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износа или коррозии</w:t>
      </w:r>
    </w:p>
    <w:p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819"/>
      </w:tblGrid>
      <w:tr w:rsidR="006F659B" w:rsidRPr="005714C5" w:rsidTr="00961809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Уменьшение диаметра проволок в результате поверхностного износа или коррозии, в процентах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Количество обрывов проволок, в процентах от норм, указанных в таблице 1</w:t>
            </w:r>
          </w:p>
        </w:tc>
      </w:tr>
      <w:tr w:rsidR="006F659B" w:rsidRPr="005714C5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F659B" w:rsidRPr="005714C5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F659B" w:rsidRPr="005714C5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659B" w:rsidRPr="005714C5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F659B" w:rsidRPr="005714C5" w:rsidTr="00961809">
        <w:tblPrEx>
          <w:tblBorders>
            <w:insideH w:val="none" w:sz="0" w:space="0" w:color="auto"/>
          </w:tblBorders>
        </w:tblPrEx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30 и более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6F659B" w:rsidRPr="005714C5" w:rsidRDefault="006F659B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F659B" w:rsidRPr="005714C5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5714C5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Если груз подвешен на двух канатах, то каждый бракуется в отдельности, причем допускается замена одного, более изношенного, каната.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C5">
        <w:rPr>
          <w:rFonts w:ascii="Times New Roman" w:hAnsi="Times New Roman" w:cs="Times New Roman"/>
          <w:sz w:val="28"/>
          <w:szCs w:val="28"/>
        </w:rPr>
        <w:t>8. Для оценки состояния внутренних проволок, т.е. для контроля потери металлической части поперечного сечения каната (потери внутреннего сечения), вызванной обрывами, механическим износом и коррозией проволок внутренних слоев прядей (рисунок 8), канат необходимо подвергать дефектоскопии по всей его длине (последнее обязательно только для канатов ПС</w:t>
      </w:r>
      <w:r w:rsidRPr="000E6CE3">
        <w:rPr>
          <w:rFonts w:ascii="Times New Roman" w:hAnsi="Times New Roman" w:cs="Times New Roman"/>
          <w:sz w:val="28"/>
          <w:szCs w:val="28"/>
        </w:rPr>
        <w:t>, транспортирующих опасные грузы, предназначенных или используемых для подъема людей, а также канатов, работающих с блоками из синтетического материала или блоками из металла с синтетической футеровкой поверхности, контактирующей с канатом).</w:t>
      </w:r>
    </w:p>
    <w:p w:rsidR="00E5589C" w:rsidRPr="00E5589C" w:rsidRDefault="00E5589C" w:rsidP="00E5589C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 регистрации при помощи дефектоскопа потери сечения металла проволок, достигшей 17,5 процентов и более, канат бракуется.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9. При обнаружении в канате одной или нескольких оборванных прядей канат бракуется и к дальнейшей работе не допускается.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10. Волнистость каната характеризуется шагом и направлением ее спирали (рисунок 9). При совпадении направлений спирали волнистости и свивки каната и равенстве шагов спирали волнистости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45" name="Рисунок 45" descr="base_1_198460_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98460_24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и свивки каната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6380" cy="246380"/>
            <wp:effectExtent l="0" t="0" r="0" b="0"/>
            <wp:docPr id="46" name="Рисунок 46" descr="base_1_198460_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98460_25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канат бракуется при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874395" cy="246380"/>
            <wp:effectExtent l="0" t="0" r="0" b="0"/>
            <wp:docPr id="47" name="Рисунок 47" descr="base_1_198460_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98460_25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48" name="Рисунок 48" descr="base_1_198460_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8460_25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диаметр спирали волнистости,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49" name="Рисунок 49" descr="base_1_198460_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98460_25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номинальный диаметр каната.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22655" cy="246380"/>
            <wp:effectExtent l="0" t="0" r="0" b="0"/>
            <wp:docPr id="50" name="Рисунок 50" descr="base_1_198460_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98460_25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. Длина рассматриваемого отрезка каната не должна превышать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4015" cy="246380"/>
            <wp:effectExtent l="0" t="0" r="0" b="0"/>
            <wp:docPr id="51" name="Рисунок 51" descr="base_1_198460_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98460_25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:rsidR="006F659B" w:rsidRPr="000E6CE3" w:rsidRDefault="006F659B" w:rsidP="006F6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11. Канаты должны выбраковываться и не допускаться к дальнейшей работе при обнаружении: корзинообразной деформации </w:t>
      </w:r>
      <w:r w:rsidRPr="005B6852">
        <w:rPr>
          <w:rFonts w:ascii="Times New Roman" w:hAnsi="Times New Roman" w:cs="Times New Roman"/>
          <w:sz w:val="28"/>
          <w:szCs w:val="28"/>
        </w:rPr>
        <w:t>(рисунок 10)</w:t>
      </w:r>
      <w:r w:rsidRPr="000E6CE3">
        <w:rPr>
          <w:rFonts w:ascii="Times New Roman" w:hAnsi="Times New Roman" w:cs="Times New Roman"/>
          <w:sz w:val="28"/>
          <w:szCs w:val="28"/>
        </w:rPr>
        <w:t xml:space="preserve">; </w:t>
      </w:r>
      <w:r w:rsidRPr="005714C5">
        <w:rPr>
          <w:rFonts w:ascii="Times New Roman" w:hAnsi="Times New Roman" w:cs="Times New Roman"/>
          <w:sz w:val="28"/>
          <w:szCs w:val="28"/>
        </w:rPr>
        <w:t>выдавливания сердечника (рисунок 11); выдавливания или расслоения прядей (рисунок 12); местного увеличения диаметра каната (рисунок 13); местного уменьшения диаметра каната (рисунок 7); раздавленных участков (рисунок 14); перекручиваний (рисунок 15); заломов (рисунок 16); перегибов (рисунок 17); повреждений в результате температурных воздействий или электрического дугового разряда.</w:t>
      </w:r>
    </w:p>
    <w:p w:rsidR="006F659B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9C" w:rsidRPr="00E5589C" w:rsidRDefault="00E5589C" w:rsidP="00D200F2">
      <w:pPr>
        <w:spacing w:after="120"/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2280" cy="4349115"/>
            <wp:effectExtent l="0" t="0" r="0" b="0"/>
            <wp:docPr id="52" name="Рисунок 52" descr="base_1_198460_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98460_25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E5589C" w:rsidRDefault="006F659B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2"/>
      <w:bookmarkEnd w:id="6"/>
      <w:r w:rsidRPr="000E6CE3">
        <w:rPr>
          <w:rFonts w:ascii="Times New Roman" w:hAnsi="Times New Roman" w:cs="Times New Roman"/>
          <w:sz w:val="28"/>
          <w:szCs w:val="28"/>
        </w:rPr>
        <w:t xml:space="preserve">   Рисунок 5. Износ наружных              Рисунок 6. Поверхностная коррозия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проволок каната крестовой              проволок каната крестовой свивки: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свивки:                             а - начальное окисление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а - небольшие лыски на                          поверхности;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проволоках;                      б - общее окисление поверхности;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 - увеличенная длина лысок</w:t>
      </w:r>
      <w:r w:rsidR="000766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на               в - заметное окисление; г -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отдельных проволоках; в -                   сильное окисление; д -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удлинение лысок в отдельных                   интенсивная коррозия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проволоках при заметном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уменьшении диаметра проволок;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г - лыски на всех проволоках,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уменьшение диаметра каната;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д - интенсивный износ всех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наружных проволок каната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(уменьшение диаметра проволок</w:t>
      </w:r>
    </w:p>
    <w:p w:rsidR="006F659B" w:rsidRPr="000E6CE3" w:rsidRDefault="006F659B" w:rsidP="006F659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       на 40 процентов)</w:t>
      </w:r>
    </w:p>
    <w:p w:rsidR="00E5589C" w:rsidRPr="00E5589C" w:rsidRDefault="00E5589C" w:rsidP="006F659B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0200" cy="476885"/>
            <wp:effectExtent l="0" t="0" r="0" b="0"/>
            <wp:docPr id="53" name="Рисунок 53" descr="base_1_198460_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98460_25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E5589C" w:rsidRDefault="006F659B" w:rsidP="006F659B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71"/>
      <w:bookmarkEnd w:id="7"/>
      <w:r w:rsidRPr="000E6CE3">
        <w:rPr>
          <w:rFonts w:ascii="Times New Roman" w:hAnsi="Times New Roman" w:cs="Times New Roman"/>
          <w:sz w:val="28"/>
          <w:szCs w:val="28"/>
        </w:rPr>
        <w:t>Рисунок 7. Местное уменьшение диаметра каната на месте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разрушения органического сердечника</w:t>
      </w:r>
    </w:p>
    <w:p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5300" cy="1892300"/>
            <wp:effectExtent l="0" t="0" r="0" b="0"/>
            <wp:docPr id="54" name="Рисунок 54" descr="base_1_198460_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98460_25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76"/>
      <w:bookmarkEnd w:id="8"/>
      <w:r w:rsidRPr="000E6CE3">
        <w:rPr>
          <w:rFonts w:ascii="Times New Roman" w:hAnsi="Times New Roman" w:cs="Times New Roman"/>
          <w:sz w:val="28"/>
          <w:szCs w:val="28"/>
        </w:rPr>
        <w:t>Рисунок 8. Уменьшение площади поперечного сечения проволок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(интенсивная внутренняя коррозия)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7215" cy="1454785"/>
            <wp:effectExtent l="0" t="0" r="0" b="0"/>
            <wp:docPr id="55" name="Рисунок 55" descr="base_1_198460_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98460_25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Рисунок 9. Волнистость каната (объяснение в тексте)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3310" cy="866775"/>
            <wp:effectExtent l="0" t="0" r="0" b="0"/>
            <wp:docPr id="56" name="Рисунок 56" descr="base_1_198460_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98460_26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85"/>
      <w:bookmarkEnd w:id="9"/>
      <w:r w:rsidRPr="000E6CE3">
        <w:rPr>
          <w:rFonts w:ascii="Times New Roman" w:hAnsi="Times New Roman" w:cs="Times New Roman"/>
          <w:sz w:val="28"/>
          <w:szCs w:val="28"/>
        </w:rPr>
        <w:t>Рисунок 10. Корзинообразная деформация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1570" cy="1304290"/>
            <wp:effectExtent l="0" t="0" r="0" b="0"/>
            <wp:docPr id="57" name="Рисунок 57" descr="base_1_198460_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98460_26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289"/>
      <w:bookmarkEnd w:id="10"/>
      <w:r w:rsidRPr="000E6CE3">
        <w:rPr>
          <w:rFonts w:ascii="Times New Roman" w:hAnsi="Times New Roman" w:cs="Times New Roman"/>
          <w:sz w:val="28"/>
          <w:szCs w:val="28"/>
        </w:rPr>
        <w:t>Рисунок 11. Выдавливание сердечника</w:t>
      </w:r>
    </w:p>
    <w:p w:rsidR="006F659B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1900555"/>
            <wp:effectExtent l="0" t="0" r="0" b="0"/>
            <wp:docPr id="58" name="Рисунок 58" descr="base_1_198460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98460_26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93"/>
      <w:bookmarkEnd w:id="11"/>
      <w:r w:rsidRPr="000E6CE3">
        <w:rPr>
          <w:rFonts w:ascii="Times New Roman" w:hAnsi="Times New Roman" w:cs="Times New Roman"/>
          <w:sz w:val="28"/>
          <w:szCs w:val="28"/>
        </w:rPr>
        <w:t>Рисунок 12. Выдавливание проволок прядей: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а - в одной пряди; б - в нескольких прядях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0325" cy="819150"/>
            <wp:effectExtent l="0" t="0" r="0" b="0"/>
            <wp:docPr id="59" name="Рисунок 59" descr="base_1_198460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98460_26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298"/>
      <w:bookmarkEnd w:id="12"/>
      <w:r w:rsidRPr="000E6CE3">
        <w:rPr>
          <w:rFonts w:ascii="Times New Roman" w:hAnsi="Times New Roman" w:cs="Times New Roman"/>
          <w:sz w:val="28"/>
          <w:szCs w:val="28"/>
        </w:rPr>
        <w:t>Рисунок 13. Местное увеличение диаметра каната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190" cy="532765"/>
            <wp:effectExtent l="0" t="0" r="0" b="0"/>
            <wp:docPr id="60" name="Рисунок 60" descr="base_1_198460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98460_26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302"/>
      <w:bookmarkEnd w:id="13"/>
      <w:r w:rsidRPr="000E6CE3">
        <w:rPr>
          <w:rFonts w:ascii="Times New Roman" w:hAnsi="Times New Roman" w:cs="Times New Roman"/>
          <w:sz w:val="28"/>
          <w:szCs w:val="28"/>
        </w:rPr>
        <w:t>Рисунок 14. Раздавливание каната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5065" cy="970280"/>
            <wp:effectExtent l="0" t="0" r="0" b="0"/>
            <wp:docPr id="61" name="Рисунок 61" descr="base_1_198460_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98460_26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306"/>
      <w:bookmarkEnd w:id="14"/>
      <w:r w:rsidRPr="000E6CE3">
        <w:rPr>
          <w:rFonts w:ascii="Times New Roman" w:hAnsi="Times New Roman" w:cs="Times New Roman"/>
          <w:sz w:val="28"/>
          <w:szCs w:val="28"/>
        </w:rPr>
        <w:t>Рисунок 15. Перекручивание каната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9185" cy="715645"/>
            <wp:effectExtent l="0" t="0" r="0" b="0"/>
            <wp:docPr id="62" name="Рисунок 62" descr="base_1_198460_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98460_26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310"/>
      <w:bookmarkEnd w:id="15"/>
      <w:r w:rsidRPr="000E6CE3">
        <w:rPr>
          <w:rFonts w:ascii="Times New Roman" w:hAnsi="Times New Roman" w:cs="Times New Roman"/>
          <w:sz w:val="28"/>
          <w:szCs w:val="28"/>
        </w:rPr>
        <w:t>Рисунок 16. Залом каната</w:t>
      </w:r>
    </w:p>
    <w:p w:rsidR="006F659B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0F2" w:rsidRDefault="00D200F2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0F2" w:rsidRPr="00E5589C" w:rsidRDefault="00D200F2" w:rsidP="00D200F2">
      <w:pPr>
        <w:ind w:left="6521"/>
        <w:rPr>
          <w:sz w:val="24"/>
        </w:rPr>
      </w:pPr>
      <w:r w:rsidRPr="00E5589C">
        <w:rPr>
          <w:sz w:val="24"/>
        </w:rPr>
        <w:lastRenderedPageBreak/>
        <w:t>Продолжение приложения 1</w:t>
      </w:r>
      <w:r w:rsidR="00727191">
        <w:rPr>
          <w:sz w:val="24"/>
        </w:rPr>
        <w:t>3</w:t>
      </w: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3935" cy="1017905"/>
            <wp:effectExtent l="0" t="0" r="0" b="0"/>
            <wp:docPr id="63" name="Рисунок 63" descr="base_1_198460_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98460_26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9B" w:rsidRPr="000E6CE3" w:rsidRDefault="006F659B" w:rsidP="006F65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59B" w:rsidRPr="000E6CE3" w:rsidRDefault="006F659B" w:rsidP="006F65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314"/>
      <w:bookmarkEnd w:id="16"/>
      <w:r w:rsidRPr="000E6CE3">
        <w:rPr>
          <w:rFonts w:ascii="Times New Roman" w:hAnsi="Times New Roman" w:cs="Times New Roman"/>
          <w:sz w:val="28"/>
          <w:szCs w:val="28"/>
        </w:rPr>
        <w:t>Рисунок 17. Перегиб каната</w:t>
      </w:r>
    </w:p>
    <w:sectPr w:rsidR="006F659B" w:rsidRPr="000E6CE3" w:rsidSect="00E33B6C">
      <w:headerReference w:type="default" r:id="rId3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F1" w:rsidRDefault="009857F1" w:rsidP="00E33B6C">
      <w:pPr>
        <w:spacing w:after="0" w:line="240" w:lineRule="auto"/>
      </w:pPr>
      <w:r>
        <w:separator/>
      </w:r>
    </w:p>
  </w:endnote>
  <w:endnote w:type="continuationSeparator" w:id="1">
    <w:p w:rsidR="009857F1" w:rsidRDefault="009857F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F1" w:rsidRDefault="009857F1" w:rsidP="00E33B6C">
      <w:pPr>
        <w:spacing w:after="0" w:line="240" w:lineRule="auto"/>
      </w:pPr>
      <w:r>
        <w:separator/>
      </w:r>
    </w:p>
  </w:footnote>
  <w:footnote w:type="continuationSeparator" w:id="1">
    <w:p w:rsidR="009857F1" w:rsidRDefault="009857F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952A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766A2">
          <w:rPr>
            <w:rFonts w:ascii="Times New Roman" w:hAnsi="Times New Roman" w:cs="Times New Roman"/>
            <w:noProof/>
          </w:rPr>
          <w:t>12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3D7"/>
    <w:rsid w:val="000766A2"/>
    <w:rsid w:val="001952AC"/>
    <w:rsid w:val="001B23D7"/>
    <w:rsid w:val="002A5566"/>
    <w:rsid w:val="002F0390"/>
    <w:rsid w:val="00320634"/>
    <w:rsid w:val="003E784F"/>
    <w:rsid w:val="003F455C"/>
    <w:rsid w:val="0050702E"/>
    <w:rsid w:val="00646116"/>
    <w:rsid w:val="006C3096"/>
    <w:rsid w:val="006F659B"/>
    <w:rsid w:val="00722C9F"/>
    <w:rsid w:val="00727191"/>
    <w:rsid w:val="00755C0A"/>
    <w:rsid w:val="00810265"/>
    <w:rsid w:val="00811BC8"/>
    <w:rsid w:val="0097799D"/>
    <w:rsid w:val="009857F1"/>
    <w:rsid w:val="00A3749E"/>
    <w:rsid w:val="00A81A02"/>
    <w:rsid w:val="00B24807"/>
    <w:rsid w:val="00B334AE"/>
    <w:rsid w:val="00B81173"/>
    <w:rsid w:val="00D200F2"/>
    <w:rsid w:val="00DB3B75"/>
    <w:rsid w:val="00E32823"/>
    <w:rsid w:val="00E33B6C"/>
    <w:rsid w:val="00E5589C"/>
    <w:rsid w:val="00ED7C9E"/>
    <w:rsid w:val="00F45E00"/>
    <w:rsid w:val="00F63FEC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6F65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F65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6F659B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6F659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6F6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F659B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5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B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6F65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6F659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6F659B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6F659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6F6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F659B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42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11</cp:revision>
  <dcterms:created xsi:type="dcterms:W3CDTF">2019-02-21T05:23:00Z</dcterms:created>
  <dcterms:modified xsi:type="dcterms:W3CDTF">2019-04-25T14:22:00Z</dcterms:modified>
</cp:coreProperties>
</file>