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57" w:rsidRDefault="00753B57" w:rsidP="00753B57">
      <w:pPr>
        <w:pStyle w:val="1"/>
        <w:ind w:left="5529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 xml:space="preserve">Приложение </w:t>
      </w:r>
      <w:r w:rsidR="0000087A">
        <w:rPr>
          <w:b w:val="0"/>
          <w:color w:val="00000A"/>
          <w:sz w:val="24"/>
          <w:szCs w:val="24"/>
          <w:shd w:val="clear" w:color="auto" w:fill="FFFFFF"/>
        </w:rPr>
        <w:t>7</w:t>
      </w:r>
    </w:p>
    <w:p w:rsidR="00753B57" w:rsidRDefault="00753B57" w:rsidP="00753B57">
      <w:pPr>
        <w:pStyle w:val="1"/>
        <w:ind w:left="5529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</w:p>
    <w:p w:rsidR="00753B57" w:rsidRDefault="00753B57" w:rsidP="00753B57">
      <w:pPr>
        <w:pStyle w:val="1"/>
        <w:ind w:left="5529"/>
        <w:rPr>
          <w:b w:val="0"/>
          <w:color w:val="00000A"/>
          <w:sz w:val="24"/>
          <w:szCs w:val="24"/>
          <w:shd w:val="clear" w:color="auto" w:fill="FFFFFF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</w:t>
      </w:r>
      <w:r w:rsidR="00B704BD">
        <w:rPr>
          <w:b w:val="0"/>
          <w:color w:val="00000A"/>
          <w:sz w:val="24"/>
          <w:szCs w:val="24"/>
          <w:shd w:val="clear" w:color="auto" w:fill="FFFFFF"/>
        </w:rPr>
        <w:t>под</w:t>
      </w:r>
      <w:r>
        <w:rPr>
          <w:b w:val="0"/>
          <w:color w:val="00000A"/>
          <w:sz w:val="24"/>
          <w:szCs w:val="24"/>
          <w:shd w:val="clear" w:color="auto" w:fill="FFFFFF"/>
        </w:rPr>
        <w:t>пункт 4.4.2</w:t>
      </w:r>
      <w:r w:rsidR="00B704BD">
        <w:rPr>
          <w:b w:val="0"/>
          <w:color w:val="00000A"/>
          <w:sz w:val="24"/>
          <w:szCs w:val="24"/>
          <w:shd w:val="clear" w:color="auto" w:fill="FFFFFF"/>
        </w:rPr>
        <w:t xml:space="preserve"> пункта 4.2.</w:t>
      </w:r>
      <w:r>
        <w:rPr>
          <w:b w:val="0"/>
          <w:color w:val="00000A"/>
          <w:sz w:val="24"/>
          <w:szCs w:val="24"/>
          <w:shd w:val="clear" w:color="auto" w:fill="FFFFFF"/>
        </w:rPr>
        <w:t>)</w:t>
      </w:r>
    </w:p>
    <w:p w:rsidR="00B704BD" w:rsidRDefault="00DA0E6B" w:rsidP="00B704BD">
      <w:pPr>
        <w:pStyle w:val="1"/>
        <w:ind w:left="5529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>(в ред.</w:t>
      </w:r>
      <w:r w:rsidR="00B704BD">
        <w:rPr>
          <w:b w:val="0"/>
          <w:color w:val="00000A"/>
          <w:sz w:val="24"/>
          <w:szCs w:val="24"/>
        </w:rPr>
        <w:t xml:space="preserve"> приказа МДС ДНР </w:t>
      </w:r>
    </w:p>
    <w:p w:rsidR="00B704BD" w:rsidRDefault="00B704BD" w:rsidP="00B704BD">
      <w:pPr>
        <w:pStyle w:val="1"/>
        <w:ind w:left="5529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>от 15.07.2019 № 250)</w:t>
      </w:r>
    </w:p>
    <w:p w:rsidR="00B704BD" w:rsidRPr="00DA0E6B" w:rsidRDefault="00DA0E6B" w:rsidP="00753B57">
      <w:pPr>
        <w:pStyle w:val="1"/>
        <w:ind w:left="5529"/>
        <w:rPr>
          <w:b w:val="0"/>
          <w:color w:val="00000A"/>
          <w:sz w:val="24"/>
          <w:szCs w:val="24"/>
        </w:rPr>
      </w:pPr>
      <w:r w:rsidRPr="00DA0E6B">
        <w:rPr>
          <w:b w:val="0"/>
          <w:color w:val="00000A"/>
          <w:sz w:val="24"/>
          <w:szCs w:val="24"/>
        </w:rPr>
        <w:t>(</w:t>
      </w:r>
      <w:r w:rsidRPr="00DA0E6B">
        <w:rPr>
          <w:b w:val="0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5" w:history="1">
        <w:r w:rsidRPr="00DA0E6B">
          <w:rPr>
            <w:rStyle w:val="a3"/>
            <w:b w:val="0"/>
            <w:i/>
            <w:color w:val="0000A6" w:themeColor="hyperlink" w:themeShade="A6"/>
            <w:sz w:val="24"/>
            <w:szCs w:val="24"/>
          </w:rPr>
          <w:t>редакции</w:t>
        </w:r>
      </w:hyperlink>
      <w:bookmarkStart w:id="0" w:name="_GoBack"/>
      <w:bookmarkEnd w:id="0"/>
      <w:r w:rsidRPr="00DA0E6B">
        <w:rPr>
          <w:b w:val="0"/>
          <w:color w:val="00000A"/>
          <w:sz w:val="24"/>
          <w:szCs w:val="24"/>
        </w:rPr>
        <w:t>)</w:t>
      </w:r>
    </w:p>
    <w:p w:rsidR="00753B57" w:rsidRDefault="00753B57" w:rsidP="00753B57">
      <w:pPr>
        <w:pStyle w:val="1"/>
        <w:ind w:left="5529"/>
        <w:rPr>
          <w:color w:val="00000A"/>
          <w:sz w:val="24"/>
          <w:szCs w:val="24"/>
        </w:rPr>
      </w:pPr>
    </w:p>
    <w:p w:rsidR="00753B57" w:rsidRDefault="00753B57" w:rsidP="00753B57">
      <w:pPr>
        <w:pStyle w:val="1"/>
        <w:ind w:left="5529"/>
        <w:rPr>
          <w:color w:val="00000A"/>
          <w:sz w:val="24"/>
          <w:szCs w:val="24"/>
        </w:rPr>
      </w:pPr>
    </w:p>
    <w:p w:rsidR="00753B57" w:rsidRDefault="00753B57" w:rsidP="00753B57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УТВЕРЖДАЮ:</w:t>
      </w:r>
    </w:p>
    <w:p w:rsidR="00753B57" w:rsidRDefault="00753B57" w:rsidP="00753B57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Министр доходов и сборов Донецкой Народной Республики</w:t>
      </w:r>
    </w:p>
    <w:p w:rsidR="00753B57" w:rsidRDefault="00753B57" w:rsidP="00753B57">
      <w:pPr>
        <w:tabs>
          <w:tab w:val="right" w:pos="5387"/>
          <w:tab w:val="right" w:leader="underscore" w:pos="7088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753B57" w:rsidRPr="00EC4B5C" w:rsidRDefault="00753B57" w:rsidP="00753B57">
      <w:pPr>
        <w:tabs>
          <w:tab w:val="right" w:pos="5387"/>
          <w:tab w:val="center" w:pos="6439"/>
          <w:tab w:val="center" w:pos="8413"/>
        </w:tabs>
        <w:ind w:left="5529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(подпись)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  <w:t>(инициалы, фамилия)</w:t>
      </w:r>
    </w:p>
    <w:p w:rsidR="00753B57" w:rsidRDefault="00753B57" w:rsidP="00753B57">
      <w:pPr>
        <w:tabs>
          <w:tab w:val="right" w:pos="5387"/>
          <w:tab w:val="right" w:leader="underscore" w:pos="6804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20__ г.</w:t>
      </w:r>
    </w:p>
    <w:p w:rsidR="00753B57" w:rsidRDefault="00753B57" w:rsidP="00753B57">
      <w:pPr>
        <w:pStyle w:val="1"/>
        <w:ind w:left="5670"/>
        <w:rPr>
          <w:color w:val="00000A"/>
          <w:sz w:val="24"/>
          <w:szCs w:val="24"/>
        </w:rPr>
      </w:pPr>
    </w:p>
    <w:p w:rsidR="00753B57" w:rsidRDefault="00753B57" w:rsidP="00753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57" w:rsidRDefault="00B2420E" w:rsidP="00753B5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753B57" w:rsidRDefault="00753B57" w:rsidP="00753B5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753B57" w:rsidRDefault="00753B57" w:rsidP="00753B57">
      <w:pPr>
        <w:pStyle w:val="3"/>
        <w:numPr>
          <w:ilvl w:val="2"/>
          <w:numId w:val="2"/>
        </w:numPr>
        <w:jc w:val="center"/>
        <w:rPr>
          <w:b/>
          <w:sz w:val="32"/>
          <w:szCs w:val="32"/>
          <w:lang w:val="ru-RU" w:eastAsia="ru-RU"/>
        </w:rPr>
      </w:pPr>
    </w:p>
    <w:p w:rsidR="00753B57" w:rsidRDefault="00753B57" w:rsidP="00753B57">
      <w:pPr>
        <w:rPr>
          <w:lang w:eastAsia="ru-RU"/>
        </w:rPr>
      </w:pPr>
    </w:p>
    <w:p w:rsidR="00753B57" w:rsidRDefault="00753B57" w:rsidP="00753B57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РЕШЕНИЕ</w:t>
      </w:r>
    </w:p>
    <w:p w:rsidR="00753B57" w:rsidRDefault="00753B57" w:rsidP="00753B57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Cs w:val="28"/>
          <w:lang w:val="ru-RU"/>
        </w:rPr>
        <w:t>об аннулировании действия Разрешения</w:t>
      </w:r>
      <w:r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lang w:val="ru-RU"/>
        </w:rPr>
        <w:t>________</w:t>
      </w:r>
    </w:p>
    <w:p w:rsidR="00753B57" w:rsidRDefault="00753B57" w:rsidP="00753B57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753B57" w:rsidRDefault="00753B57" w:rsidP="00753B57">
      <w:pPr>
        <w:pStyle w:val="1"/>
        <w:jc w:val="center"/>
        <w:rPr>
          <w:color w:val="00000A"/>
          <w:shd w:val="clear" w:color="auto" w:fill="FFFFFF"/>
        </w:rPr>
      </w:pPr>
    </w:p>
    <w:p w:rsidR="00753B57" w:rsidRDefault="00753B57" w:rsidP="00753B57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«___»____________  ____ г.</w:t>
      </w:r>
    </w:p>
    <w:p w:rsidR="00753B57" w:rsidRDefault="00753B57" w:rsidP="00753B57">
      <w:pPr>
        <w:pStyle w:val="1"/>
        <w:rPr>
          <w:color w:val="00000A"/>
          <w:shd w:val="clear" w:color="auto" w:fill="FFFFFF"/>
        </w:rPr>
      </w:pPr>
    </w:p>
    <w:p w:rsidR="00753B57" w:rsidRDefault="00753B57" w:rsidP="00753B57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Это решение выдано ________________________________________________</w:t>
      </w: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(наименование субъекта хозяйствования, код ЕГР, адрес)</w:t>
      </w:r>
    </w:p>
    <w:p w:rsidR="00753B57" w:rsidRDefault="00753B57" w:rsidP="00753B57">
      <w:pPr>
        <w:pStyle w:val="1"/>
        <w:rPr>
          <w:color w:val="00000A"/>
        </w:rPr>
      </w:pPr>
      <w:r>
        <w:rPr>
          <w:bCs/>
          <w:color w:val="00000A"/>
          <w:shd w:val="clear" w:color="auto" w:fill="FFFFFF"/>
        </w:rPr>
        <w:t>об аннулировании _________</w:t>
      </w:r>
      <w:r>
        <w:rPr>
          <w:color w:val="00000A"/>
          <w:shd w:val="clear" w:color="auto" w:fill="FFFFFF"/>
        </w:rPr>
        <w:t>__________________________________________,</w:t>
      </w:r>
    </w:p>
    <w:p w:rsidR="00753B57" w:rsidRDefault="00753B57" w:rsidP="00753B57">
      <w:pPr>
        <w:pStyle w:val="1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753B57" w:rsidRDefault="00753B57" w:rsidP="00753B57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 xml:space="preserve">расположенного по адресу____________________________________________, </w:t>
      </w:r>
    </w:p>
    <w:p w:rsidR="00753B57" w:rsidRDefault="00753B57" w:rsidP="00753B57">
      <w:pPr>
        <w:pStyle w:val="1"/>
        <w:rPr>
          <w:rFonts w:eastAsia="Times New Roman"/>
          <w:color w:val="00000A"/>
          <w:lang w:eastAsia="ru-RU"/>
        </w:rPr>
      </w:pP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</w:t>
      </w: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753B57" w:rsidRDefault="00753B57" w:rsidP="00753B57">
      <w:pPr>
        <w:pStyle w:val="1"/>
        <w:rPr>
          <w:rFonts w:eastAsia="Times New Roman"/>
          <w:color w:val="00000A"/>
          <w:lang w:eastAsia="ru-RU"/>
        </w:rPr>
      </w:pP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______________________________________,</w:t>
      </w:r>
    </w:p>
    <w:p w:rsidR="00753B57" w:rsidRDefault="00753B57" w:rsidP="00753B57">
      <w:pPr>
        <w:pStyle w:val="1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(тип склада)</w:t>
      </w:r>
    </w:p>
    <w:p w:rsidR="00753B57" w:rsidRDefault="00106BE3" w:rsidP="00106BE3">
      <w:pPr>
        <w:pStyle w:val="rvps2"/>
        <w:shd w:val="clear" w:color="auto" w:fill="FFFFFF"/>
        <w:spacing w:before="0" w:after="0"/>
        <w:jc w:val="both"/>
        <w:textAlignment w:val="baseline"/>
      </w:pPr>
      <w:r w:rsidRPr="00B2420E">
        <w:rPr>
          <w:b/>
          <w:sz w:val="28"/>
          <w:szCs w:val="28"/>
        </w:rPr>
        <w:t>причины аннулирования</w:t>
      </w:r>
      <w:r w:rsidR="00753B57" w:rsidRPr="00B2420E">
        <w:rPr>
          <w:b/>
          <w:sz w:val="28"/>
          <w:szCs w:val="28"/>
        </w:rPr>
        <w:t>_</w:t>
      </w:r>
      <w:r w:rsidR="00753B57">
        <w:rPr>
          <w:b/>
          <w:bCs/>
          <w:sz w:val="28"/>
          <w:szCs w:val="28"/>
          <w:lang w:eastAsia="ru-RU"/>
        </w:rPr>
        <w:t>___________</w:t>
      </w:r>
      <w:r w:rsidR="00B2420E">
        <w:rPr>
          <w:b/>
          <w:bCs/>
          <w:sz w:val="28"/>
          <w:szCs w:val="28"/>
          <w:lang w:eastAsia="ru-RU"/>
        </w:rPr>
        <w:t>_________________________________</w:t>
      </w:r>
    </w:p>
    <w:p w:rsidR="00753B57" w:rsidRDefault="00B2420E" w:rsidP="00B2420E">
      <w:pPr>
        <w:spacing w:befor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B2420E" w:rsidRDefault="00B2420E" w:rsidP="00B2420E">
      <w:pPr>
        <w:spacing w:befor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B57" w:rsidRDefault="00B2420E" w:rsidP="00B2420E">
      <w:pPr>
        <w:spacing w:before="24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</w:t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_________________</w:t>
      </w:r>
    </w:p>
    <w:p w:rsidR="00753B57" w:rsidRDefault="00753B57" w:rsidP="00753B57">
      <w:pPr>
        <w:tabs>
          <w:tab w:val="left" w:pos="709"/>
          <w:tab w:val="left" w:pos="851"/>
          <w:tab w:val="left" w:pos="3969"/>
          <w:tab w:val="left" w:pos="6804"/>
          <w:tab w:val="left" w:pos="6946"/>
          <w:tab w:val="left" w:pos="7088"/>
          <w:tab w:val="left" w:pos="8115"/>
        </w:tabs>
      </w:pPr>
      <w:r>
        <w:rPr>
          <w:rFonts w:ascii="Times New Roman" w:eastAsiaTheme="minorHAnsi" w:hAnsi="Times New Roman" w:cs="Times New Roman"/>
          <w:lang w:eastAsia="en-US"/>
        </w:rPr>
        <w:tab/>
        <w:t xml:space="preserve">(должность) 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(подпись) </w:t>
      </w:r>
      <w:r>
        <w:rPr>
          <w:rFonts w:ascii="Times New Roman" w:eastAsiaTheme="minorHAnsi" w:hAnsi="Times New Roman" w:cs="Times New Roman"/>
          <w:lang w:eastAsia="en-US"/>
        </w:rPr>
        <w:tab/>
        <w:t>(инициалы, фамилия)</w:t>
      </w:r>
    </w:p>
    <w:p w:rsidR="00753B57" w:rsidRDefault="00753B57" w:rsidP="00753B57">
      <w:pPr>
        <w:pStyle w:val="1"/>
        <w:rPr>
          <w:color w:val="00000A"/>
        </w:rPr>
      </w:pPr>
    </w:p>
    <w:p w:rsidR="00753B57" w:rsidRDefault="00753B57" w:rsidP="00B704BD">
      <w:pPr>
        <w:pStyle w:val="1"/>
        <w:ind w:left="3119"/>
        <w:rPr>
          <w:color w:val="00000A"/>
        </w:rPr>
      </w:pPr>
      <w:r w:rsidRPr="004D3E2C">
        <w:rPr>
          <w:rFonts w:eastAsia="Times New Roman"/>
          <w:b w:val="0"/>
          <w:bCs/>
          <w:lang w:eastAsia="ru-RU"/>
        </w:rPr>
        <w:t>М.П.</w:t>
      </w:r>
    </w:p>
    <w:p w:rsidR="0063797C" w:rsidRDefault="0063797C"/>
    <w:sectPr w:rsidR="0063797C" w:rsidSect="00106B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6"/>
    <w:rsid w:val="0000087A"/>
    <w:rsid w:val="00106BE3"/>
    <w:rsid w:val="0063797C"/>
    <w:rsid w:val="00753B57"/>
    <w:rsid w:val="00B2420E"/>
    <w:rsid w:val="00B704BD"/>
    <w:rsid w:val="00D96D16"/>
    <w:rsid w:val="00D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5EC0-DE7B-4866-9A96-2402B1C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5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753B57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B57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753B57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rvps2">
    <w:name w:val="rvps2"/>
    <w:basedOn w:val="a"/>
    <w:qFormat/>
    <w:rsid w:val="00753B57"/>
    <w:pPr>
      <w:spacing w:before="280" w:after="280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A0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7/07/Prilozhenie-6-k-Polozheniyu-k-Prikazu-21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Главный спец. сектора гос. инф.сист. НПА Мусияка Р.А.</cp:lastModifiedBy>
  <cp:revision>7</cp:revision>
  <cp:lastPrinted>2019-07-31T09:04:00Z</cp:lastPrinted>
  <dcterms:created xsi:type="dcterms:W3CDTF">2017-06-23T13:37:00Z</dcterms:created>
  <dcterms:modified xsi:type="dcterms:W3CDTF">2019-08-08T14:03:00Z</dcterms:modified>
</cp:coreProperties>
</file>