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2E28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CE713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CE713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CE713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CE713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</w:t>
      </w:r>
      <w:r w:rsidR="00CE713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CE713B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CE713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A3" w:rsidRPr="00A00E82" w:rsidRDefault="000003A3" w:rsidP="000003A3">
      <w:pPr>
        <w:spacing w:after="0"/>
        <w:ind w:left="6372" w:firstLine="708"/>
        <w:rPr>
          <w:rFonts w:ascii="Times New Roman" w:hAnsi="Times New Roman"/>
          <w:b/>
          <w:smallCaps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mallCaps/>
          <w:sz w:val="24"/>
          <w:szCs w:val="24"/>
        </w:rPr>
        <w:t>УТВЕРЖДАЮ</w:t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ind w:left="6663" w:firstLine="708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 xml:space="preserve"> (должность)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u w:val="single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  <w:t>(ФИО)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>«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>»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 xml:space="preserve"> 20       г</w:t>
      </w:r>
    </w:p>
    <w:p w:rsidR="002E2800" w:rsidRPr="00A00E82" w:rsidRDefault="002E2800" w:rsidP="002E28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Акт</w:t>
      </w:r>
    </w:p>
    <w:p w:rsidR="002E2800" w:rsidRPr="00A00E82" w:rsidRDefault="002E2800" w:rsidP="002E28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проверки технического состояния распределительного стального надземного газопровода</w:t>
      </w:r>
    </w:p>
    <w:p w:rsidR="002E2800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Государственный код  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Инвентарный номер по предприятию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Предприятие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(наименование)</w:t>
      </w:r>
    </w:p>
    <w:p w:rsidR="002E2800" w:rsidRPr="00A00E82" w:rsidRDefault="002E2800" w:rsidP="002E2800">
      <w:pPr>
        <w:shd w:val="clear" w:color="auto" w:fill="FFFFFF"/>
        <w:tabs>
          <w:tab w:val="left" w:pos="-567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Адрес газопровода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Характеристика газопровода: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2.1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авление: высокое, среднее, низкое (подчеркнуть)</w:t>
      </w:r>
    </w:p>
    <w:p w:rsidR="002E2800" w:rsidRPr="00A00E82" w:rsidRDefault="002E2800" w:rsidP="002E2800">
      <w:pPr>
        <w:shd w:val="clear" w:color="auto" w:fill="FFFFFF"/>
        <w:tabs>
          <w:tab w:val="left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2.2</w:t>
      </w:r>
      <w:r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лина, диаметр, толщина стенки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-142"/>
          <w:tab w:val="left" w:pos="142"/>
          <w:tab w:val="left" w:pos="709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2.3</w:t>
      </w:r>
      <w:r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тандарт (технические условия) на трубы и материалы труб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2.4</w:t>
      </w:r>
      <w:r>
        <w:rPr>
          <w:rFonts w:ascii="Times New Roman" w:eastAsia="Batang" w:hAnsi="Times New Roman"/>
          <w:sz w:val="24"/>
          <w:szCs w:val="24"/>
          <w:lang w:eastAsia="ru-RU"/>
        </w:rPr>
        <w:t>. Г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од постройки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2.5</w:t>
      </w:r>
      <w:r>
        <w:rPr>
          <w:rFonts w:ascii="Times New Roman" w:eastAsia="Batang" w:hAnsi="Times New Roman"/>
          <w:sz w:val="24"/>
          <w:szCs w:val="24"/>
          <w:lang w:eastAsia="ru-RU"/>
        </w:rPr>
        <w:t>. М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аксимальная и минимальная высота опор (от поверхности земли до низа трубы), цифрами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Default="002E2800" w:rsidP="002E2800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2.6</w:t>
      </w:r>
      <w:r>
        <w:rPr>
          <w:rFonts w:ascii="Times New Roman" w:eastAsia="Batang" w:hAnsi="Times New Roman"/>
          <w:sz w:val="24"/>
          <w:szCs w:val="24"/>
          <w:lang w:eastAsia="ru-RU"/>
        </w:rPr>
        <w:t>. 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аличие и вид защитного покрытия (алюминиевое, цинковое, лакокрасочное, стеклоэмалевое и т.п.)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2.7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тклонение от действующих в настоящее время норм и правил, которые возникли за период эксплуатации или допущенные при строительстве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-1134"/>
          <w:tab w:val="left" w:pos="-426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герметичности</w:t>
      </w:r>
    </w:p>
    <w:p w:rsidR="002E2800" w:rsidRPr="00A00E82" w:rsidRDefault="002E2800" w:rsidP="002E2800">
      <w:pPr>
        <w:shd w:val="clear" w:color="auto" w:fill="FFFFFF"/>
        <w:tabs>
          <w:tab w:val="right" w:leader="underscore" w:pos="-709"/>
          <w:tab w:val="left" w:pos="-284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3.1</w:t>
      </w:r>
      <w:r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noProof/>
          <w:sz w:val="24"/>
          <w:szCs w:val="24"/>
          <w:lang w:eastAsia="ru-RU"/>
        </w:rPr>
        <w:t>оличество выявленных утечек газа с начала эксплуатации газопровода, которые связаны с качеством сварных соединений или сквозными коррозионными повреждениями (учитывая данные обследования, которое выполняется), всего:</w:t>
      </w:r>
      <w:r>
        <w:rPr>
          <w:rFonts w:ascii="Times New Roman" w:eastAsia="Batang" w:hAnsi="Times New Roman"/>
          <w:noProof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noProof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0"/>
          <w:tab w:val="left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3.2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герметичности газопровода, выполнена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ицы</w:t>
      </w:r>
      <w:proofErr w:type="gramEnd"/>
      <w:r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1 прил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осмотра, обследования, оценки и паспортизации технического состояния,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газоснабжения (далее Порядок обследования)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</w:p>
    <w:p w:rsidR="00473671" w:rsidRDefault="00473671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       Продолжение приложения 19</w:t>
      </w:r>
    </w:p>
    <w:p w:rsidR="002E2800" w:rsidRPr="00A00E82" w:rsidRDefault="002E2800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состояния защитного покрытия:</w:t>
      </w:r>
    </w:p>
    <w:p w:rsidR="002E2800" w:rsidRPr="00A00E82" w:rsidRDefault="002E2800" w:rsidP="002E2800">
      <w:pPr>
        <w:shd w:val="clear" w:color="auto" w:fill="FFFFFF"/>
        <w:tabs>
          <w:tab w:val="left" w:pos="0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4.1</w:t>
      </w:r>
      <w:r>
        <w:rPr>
          <w:rFonts w:ascii="Times New Roman" w:eastAsia="Batang" w:hAnsi="Times New Roman"/>
          <w:spacing w:val="-4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и длина мест повреждений, обнаруженных при обследовании (в процентах к общей длине газопровода)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4.2</w:t>
      </w:r>
      <w:r>
        <w:rPr>
          <w:rFonts w:ascii="Times New Roman" w:eastAsia="Batang" w:hAnsi="Times New Roman"/>
          <w:sz w:val="24"/>
          <w:szCs w:val="24"/>
          <w:lang w:eastAsia="ru-RU"/>
        </w:rPr>
        <w:t>. Р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езультат проверки защитного покрытия, выполненной  во  время технического обследования:</w:t>
      </w:r>
    </w:p>
    <w:p w:rsidR="002E2800" w:rsidRPr="00A00E82" w:rsidRDefault="002E2800" w:rsidP="002E2800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внешний вид и характер повреждений защитного покрытия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Default="002E2800" w:rsidP="002E2800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толщина защитного покрытия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адгезии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-851"/>
          <w:tab w:val="right" w:leader="underscore" w:pos="-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4.3</w:t>
      </w:r>
      <w:r>
        <w:rPr>
          <w:rFonts w:ascii="Times New Roman" w:eastAsia="Batang" w:hAnsi="Times New Roman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защитного покрытия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ицы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 прил</w:t>
      </w:r>
      <w:r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баллов.</w:t>
      </w:r>
      <w:proofErr w:type="gramEnd"/>
    </w:p>
    <w:p w:rsidR="002E2800" w:rsidRPr="00A00E82" w:rsidRDefault="002E2800" w:rsidP="002E2800">
      <w:pPr>
        <w:shd w:val="clear" w:color="auto" w:fill="FFFFFF"/>
        <w:tabs>
          <w:tab w:val="left" w:pos="-851"/>
          <w:tab w:val="right" w:leader="underscore" w:pos="-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состояния изоляционного покрытия в местах выхода газопровода из грунта:</w:t>
      </w:r>
    </w:p>
    <w:p w:rsidR="00123B60" w:rsidRDefault="002E2800" w:rsidP="002E2800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5.1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Р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езультат проверки изоляционного покрытия, выполненной  во время технического обследования:</w:t>
      </w:r>
    </w:p>
    <w:p w:rsidR="00123B60" w:rsidRDefault="002E2800" w:rsidP="002E2800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толщина изоляции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123B60" w:rsidRDefault="002E2800" w:rsidP="002E2800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адгезии изоляции к металлу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123B60" w:rsidRDefault="002E2800" w:rsidP="002E2800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армированной обертки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поверхность изоляции: гладкая, сморщенная, бугристая, продавлена по бокам, снизу (подчеркнуть)</w:t>
      </w:r>
    </w:p>
    <w:p w:rsidR="002E2800" w:rsidRPr="00A00E82" w:rsidRDefault="002E2800" w:rsidP="002E2800">
      <w:pPr>
        <w:shd w:val="clear" w:color="auto" w:fill="FFFFFF"/>
        <w:tabs>
          <w:tab w:val="right" w:leader="underscore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5.2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Х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арактер повреждения: проколы, порезы, сквозная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грунтом, хрупкость,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осыпаемость при ударе, другие механические повреждения, произошедшие за время эксплуатации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426"/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6"/>
          <w:sz w:val="24"/>
          <w:szCs w:val="24"/>
          <w:lang w:eastAsia="ru-RU"/>
        </w:rPr>
        <w:t>5.3</w:t>
      </w:r>
      <w:r w:rsidR="00123B60">
        <w:rPr>
          <w:rFonts w:ascii="Times New Roman" w:eastAsia="Batang" w:hAnsi="Times New Roman"/>
          <w:spacing w:val="-6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pacing w:val="-6"/>
          <w:sz w:val="24"/>
          <w:szCs w:val="24"/>
          <w:lang w:eastAsia="ru-RU"/>
        </w:rPr>
        <w:t xml:space="preserve">ачество герметизации футляра (при его наличии) </w:t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6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426"/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5.4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изоляционного покрытия согласно таблице 2 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11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_________баллов</w:t>
      </w:r>
    </w:p>
    <w:p w:rsidR="002E2800" w:rsidRPr="00A00E82" w:rsidRDefault="002E2800" w:rsidP="002E2800">
      <w:pPr>
        <w:shd w:val="clear" w:color="auto" w:fill="FFFFFF"/>
        <w:tabs>
          <w:tab w:val="right" w:leader="underscore" w:pos="426"/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Проверка состояния металла трубы: </w:t>
      </w:r>
    </w:p>
    <w:p w:rsidR="00123B60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6.1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лина участков газопровода, на которых проведен осмотр металла трубы _______________,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в том числе участков, на которых обнаружена коррозия:</w:t>
      </w:r>
    </w:p>
    <w:p w:rsidR="00123B60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сильная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Start"/>
      <w:r w:rsidR="00123B60">
        <w:rPr>
          <w:rFonts w:ascii="Times New Roman" w:eastAsia="Batang" w:hAnsi="Times New Roman"/>
          <w:sz w:val="24"/>
          <w:szCs w:val="24"/>
          <w:lang w:eastAsia="ru-RU"/>
        </w:rPr>
        <w:t>м</w:t>
      </w:r>
      <w:proofErr w:type="gramEnd"/>
      <w:r w:rsidR="00123B60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123B60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очень сильная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2E2800" w:rsidRPr="00A00E82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незначительная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м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. </w:t>
      </w:r>
    </w:p>
    <w:p w:rsidR="002E2800" w:rsidRPr="00A00E82" w:rsidRDefault="002E2800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before="80"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Примечание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остояние коррозии определяется в соответствии с таблицей 4 </w:t>
      </w:r>
      <w:r w:rsidRPr="00A00E82">
        <w:rPr>
          <w:rFonts w:ascii="Times New Roman" w:hAnsi="Times New Roman"/>
          <w:sz w:val="24"/>
          <w:szCs w:val="24"/>
        </w:rPr>
        <w:t>Порядка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2E2800" w:rsidRPr="00A00E82" w:rsidRDefault="002E2800" w:rsidP="002E2800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6.2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озможные причины, которые могли вызвать коррозию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;</w:t>
      </w:r>
    </w:p>
    <w:p w:rsidR="002E2800" w:rsidRPr="00A00E82" w:rsidRDefault="002E2800" w:rsidP="002E2800">
      <w:pPr>
        <w:shd w:val="clear" w:color="auto" w:fill="FFFFFF"/>
        <w:tabs>
          <w:tab w:val="right" w:leader="underscore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6.3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металла трубы выполнена согласно требованиям пункта 3 и таблицами 4, 5 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33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123B60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обследования,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баллов;</w:t>
      </w:r>
    </w:p>
    <w:p w:rsidR="002E2800" w:rsidRPr="00A00E82" w:rsidRDefault="002E2800" w:rsidP="002E2800">
      <w:pPr>
        <w:shd w:val="clear" w:color="auto" w:fill="FFFFFF"/>
        <w:tabs>
          <w:tab w:val="right" w:leader="underscore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качества сварных стыков:</w:t>
      </w:r>
    </w:p>
    <w:p w:rsidR="002E2800" w:rsidRPr="00A00E82" w:rsidRDefault="002E2800" w:rsidP="002E2800">
      <w:pPr>
        <w:tabs>
          <w:tab w:val="left" w:leader="underscore" w:pos="-142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7.1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утечек газа, связанных с качеством сварных соединений, с начала эксплуатации газопровода, всего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-142"/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7.2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дополнительно проверенных стыков (согласно требованиям пункта 4.2 </w:t>
      </w:r>
      <w:r w:rsidRPr="00A00E82">
        <w:rPr>
          <w:rFonts w:ascii="Times New Roman" w:hAnsi="Times New Roman"/>
          <w:sz w:val="24"/>
          <w:szCs w:val="24"/>
        </w:rPr>
        <w:t>прил</w:t>
      </w:r>
      <w:r w:rsidR="00123B60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123B60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123B60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),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из них признаны дефектными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473671" w:rsidRDefault="00473671" w:rsidP="002E2800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bookmarkStart w:id="2" w:name="_GoBack"/>
      <w:bookmarkEnd w:id="2"/>
      <w:r w:rsidRPr="00473671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19</w:t>
      </w:r>
    </w:p>
    <w:p w:rsidR="002E2800" w:rsidRPr="00A00E82" w:rsidRDefault="002E2800" w:rsidP="002E2800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7.3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качества сварных стыков газопровода, выполнена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6 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Pr="00A00E82">
        <w:rPr>
          <w:rFonts w:ascii="Times New Roman" w:hAnsi="Times New Roman"/>
          <w:sz w:val="24"/>
          <w:szCs w:val="24"/>
        </w:rPr>
        <w:t>Порядка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</w:p>
    <w:p w:rsidR="002E2800" w:rsidRPr="00A00E82" w:rsidRDefault="002E2800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Примечание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варные стыки следует проверять в случае, когда в процессе эксплуатации были выявлены утечки газа через сварные стыки.</w:t>
      </w:r>
    </w:p>
    <w:p w:rsidR="002E2800" w:rsidRPr="00A00E82" w:rsidRDefault="002E2800" w:rsidP="002E2800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8.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технического состояния опор, креплений, диэлектрических прокладок между трубой и креплением, и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золирующих соединений (вставок)</w:t>
      </w:r>
    </w:p>
    <w:p w:rsidR="002E2800" w:rsidRPr="00A00E82" w:rsidRDefault="002E2800" w:rsidP="002E280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8.1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остояние обследованных опор и креплений газопровода (наличие нарушений - проседание, отклонение от оси и т.д.)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tabs>
          <w:tab w:val="left" w:leader="underscore" w:pos="142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8.2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остояние диэлектрических прокладок между трубой и креплением, а также изолирующих соединений (наличие нарушений)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tabs>
          <w:tab w:val="left" w:leader="underscore" w:pos="142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17"/>
          <w:sz w:val="24"/>
          <w:szCs w:val="24"/>
          <w:lang w:eastAsia="ru-RU"/>
        </w:rPr>
        <w:t>9.</w:t>
      </w:r>
      <w:r w:rsidR="00123B60">
        <w:rPr>
          <w:rFonts w:ascii="Times New Roman" w:eastAsia="Batang" w:hAnsi="Times New Roman"/>
          <w:spacing w:val="-17"/>
          <w:sz w:val="24"/>
          <w:szCs w:val="24"/>
          <w:lang w:eastAsia="ru-RU"/>
        </w:rPr>
        <w:t> 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Общая оценка технического состояния распределительного стального надземного газопровода выполнена путем суммирования оценок, полученных по таким показателям, как: герметичность, состояние защитного покрытия, состояние металла трубы, качество сварных стыков, состояние опор, креплений, состояние диэлектрических прокладок, согласно табл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иц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1, 5, 6 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и 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>пункт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а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7 и таблиц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ы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11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баллов.</w:t>
      </w:r>
      <w:proofErr w:type="gramEnd"/>
    </w:p>
    <w:p w:rsidR="002E2800" w:rsidRPr="00A00E82" w:rsidRDefault="002E2800" w:rsidP="002E2800">
      <w:pPr>
        <w:tabs>
          <w:tab w:val="left" w:leader="underscore" w:pos="142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9.1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. 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Общая оценка технического состояния мест выхода из грунта распределительного стального надземного газопровода, выполнена путем суммирования оценок, полученных по таким показателям, как: герметичность, состояние изоляционного покрытия в местах выхода газопровода из земли, состояние металла трубы, качество сварных стыков, состояние изолирующих  соединений, согласно табл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иц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1, 5, 6 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и 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>пункт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а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7 и таблиц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ы</w:t>
      </w:r>
      <w:r w:rsidR="00123B60"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2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прил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11 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 w:rsidR="00123B60"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  <w:proofErr w:type="gramEnd"/>
    </w:p>
    <w:p w:rsidR="002E2800" w:rsidRPr="00A00E82" w:rsidRDefault="002E2800" w:rsidP="002E2800">
      <w:pPr>
        <w:shd w:val="clear" w:color="auto" w:fill="FFFFFF"/>
        <w:tabs>
          <w:tab w:val="left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10.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Дополнительные данные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-142"/>
          <w:tab w:val="left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11.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Вывод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выполнявшей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техническое обследование: 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 w:rsidR="00966A71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газопровод: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подразделения по ЭХЗ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технического обследования «_____» _________________ 20___ г.</w:t>
      </w:r>
    </w:p>
    <w:p w:rsidR="00E80F52" w:rsidRPr="00E80F52" w:rsidRDefault="00E80F52" w:rsidP="002E28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4736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71" w:rsidRDefault="00473671" w:rsidP="00473671">
      <w:pPr>
        <w:spacing w:after="0" w:line="240" w:lineRule="auto"/>
      </w:pPr>
      <w:r>
        <w:separator/>
      </w:r>
    </w:p>
  </w:endnote>
  <w:endnote w:type="continuationSeparator" w:id="0">
    <w:p w:rsidR="00473671" w:rsidRDefault="00473671" w:rsidP="0047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71" w:rsidRDefault="00473671" w:rsidP="00473671">
      <w:pPr>
        <w:spacing w:after="0" w:line="240" w:lineRule="auto"/>
      </w:pPr>
      <w:r>
        <w:separator/>
      </w:r>
    </w:p>
  </w:footnote>
  <w:footnote w:type="continuationSeparator" w:id="0">
    <w:p w:rsidR="00473671" w:rsidRDefault="00473671" w:rsidP="0047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036047"/>
      <w:docPartObj>
        <w:docPartGallery w:val="Page Numbers (Top of Page)"/>
        <w:docPartUnique/>
      </w:docPartObj>
    </w:sdtPr>
    <w:sdtContent>
      <w:p w:rsidR="00473671" w:rsidRDefault="00473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3671" w:rsidRDefault="004736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95262"/>
    <w:rsid w:val="002565DC"/>
    <w:rsid w:val="00265CEA"/>
    <w:rsid w:val="00277CFF"/>
    <w:rsid w:val="00293F51"/>
    <w:rsid w:val="002E2800"/>
    <w:rsid w:val="00330E01"/>
    <w:rsid w:val="0034691A"/>
    <w:rsid w:val="003708B1"/>
    <w:rsid w:val="003D0300"/>
    <w:rsid w:val="00421B28"/>
    <w:rsid w:val="00473671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A3C11"/>
    <w:rsid w:val="007C4326"/>
    <w:rsid w:val="008274FF"/>
    <w:rsid w:val="00857FCD"/>
    <w:rsid w:val="008F3944"/>
    <w:rsid w:val="00904C6E"/>
    <w:rsid w:val="009412F6"/>
    <w:rsid w:val="00966A71"/>
    <w:rsid w:val="00991E4B"/>
    <w:rsid w:val="009C50E2"/>
    <w:rsid w:val="00A11D25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CE713B"/>
    <w:rsid w:val="00D9418A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6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6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6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943-286C-470B-AB13-017D20A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2019-08-07T08:45:00Z</dcterms:created>
  <dcterms:modified xsi:type="dcterms:W3CDTF">2019-09-12T11:23:00Z</dcterms:modified>
</cp:coreProperties>
</file>