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01B5CE62" w14:textId="6F266467" w:rsidR="002662C5" w:rsidRPr="000D0030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</w:t>
      </w:r>
      <w:r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приказа Министерства финансов Донецкой Народной Республики</w:t>
      </w:r>
      <w:r w:rsidRPr="00CF32CD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 </w:t>
      </w:r>
      <w:hyperlink r:id="rId7" w:history="1">
        <w:r w:rsidR="008C7920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 xml:space="preserve">от 18.02.2020 </w:t>
        </w:r>
        <w:r w:rsidR="00284C8D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>№ 36</w:t>
        </w:r>
      </w:hyperlink>
      <w:r w:rsidR="0078530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 xml:space="preserve">от 16.03.2020 № </w:t>
        </w:r>
        <w:r w:rsidR="000D0030" w:rsidRPr="0078530B">
          <w:rPr>
            <w:rStyle w:val="ab"/>
            <w:rFonts w:ascii="Times New Roman" w:hAnsi="Times New Roman"/>
            <w:sz w:val="24"/>
            <w:szCs w:val="24"/>
          </w:rPr>
          <w:t>7</w:t>
        </w:r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>2</w:t>
        </w:r>
      </w:hyperlink>
      <w:r w:rsidR="00CF32CD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9" w:history="1">
        <w:r w:rsidR="00CF32CD" w:rsidRPr="00CF32CD">
          <w:rPr>
            <w:rStyle w:val="ab"/>
            <w:rFonts w:ascii="Times New Roman" w:hAnsi="Times New Roman"/>
            <w:i/>
            <w:iCs/>
            <w:color w:val="03407D" w:themeColor="hyperlink" w:themeShade="A6"/>
            <w:sz w:val="24"/>
            <w:szCs w:val="24"/>
          </w:rPr>
          <w:t>от 14.05.2020 № 122</w:t>
        </w:r>
      </w:hyperlink>
      <w:r w:rsidR="009A755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9A7554" w:rsidRPr="009A7554">
          <w:rPr>
            <w:rStyle w:val="ab"/>
            <w:rFonts w:ascii="Times New Roman" w:hAnsi="Times New Roman"/>
            <w:sz w:val="24"/>
            <w:szCs w:val="24"/>
          </w:rPr>
          <w:t>от 28.05.2020 № 137</w:t>
        </w:r>
      </w:hyperlink>
      <w:r w:rsidR="009A7554">
        <w:rPr>
          <w:rFonts w:ascii="Times New Roman" w:hAnsi="Times New Roman"/>
          <w:sz w:val="24"/>
          <w:szCs w:val="24"/>
        </w:rPr>
        <w:t>)</w:t>
      </w:r>
    </w:p>
    <w:p w14:paraId="36BB255F" w14:textId="77777777"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7777777"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14:paraId="51D12D8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EDA4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A1FE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30618D0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010D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FF01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2E759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53AC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BC7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9A7554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FD4D96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9A7554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9A7554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DB7837" w:rsidRPr="00013405" w14:paraId="099D2764" w14:textId="77777777" w:rsidTr="00F11BB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DB7837" w:rsidRPr="00013405" w14:paraId="6A4039D3" w14:textId="77777777" w:rsidTr="00BA33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3119C0C5" w14:textId="77777777" w:rsidTr="00947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19609C78" w14:textId="77777777" w:rsidTr="00F935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FD4D96" w:rsidRPr="00013405" w:rsidRDefault="009D61F8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6842DBA7" w14:textId="77777777" w:rsidTr="001F08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о государственной аккредитации, выдачу копий и дубликатов свидетельств (аттестатов) о </w:t>
            </w:r>
            <w:r w:rsidRPr="00013405">
              <w:rPr>
                <w:rFonts w:ascii="Times New Roman" w:hAnsi="Times New Roman" w:cs="Times New Roman"/>
              </w:rPr>
              <w:lastRenderedPageBreak/>
              <w:t>государственной аккредитации</w:t>
            </w:r>
          </w:p>
        </w:tc>
      </w:tr>
      <w:tr w:rsidR="002662C5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14:paraId="59541F69" w14:textId="77777777"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DB7837" w:rsidRPr="00013405" w14:paraId="1FDF58E3" w14:textId="77777777" w:rsidTr="0095019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DB7837" w:rsidRPr="00DB7837" w:rsidRDefault="00DB7837" w:rsidP="00DB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DB7837" w:rsidRPr="00DB7837" w:rsidRDefault="00DB7837" w:rsidP="00DB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DB7837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DB7837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2662C5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9D61F8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9D61F8" w:rsidRPr="00166F7A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FD4D96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</w:t>
            </w:r>
            <w:r w:rsidRPr="00B0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FD4D96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9D61F8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9D61F8" w:rsidRPr="00A07365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87707E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социального страхования на случай временной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  <w:tr w:rsidR="0087707E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9D61F8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9D61F8" w:rsidRDefault="009D61F8" w:rsidP="002F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9D61F8" w:rsidRPr="007434A2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Республиканского центра занятости Донецкой Народной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F8302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9D61F8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9D61F8" w:rsidRDefault="009D61F8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9D61F8" w:rsidRDefault="009D61F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9D61F8" w:rsidRPr="00967EAF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BA73F9" w:rsidRPr="00013405" w14:paraId="0A5F0A9B" w14:textId="77777777" w:rsidTr="0068527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BA73F9" w:rsidRPr="00BA73F9" w:rsidRDefault="00BA73F9" w:rsidP="00BA73F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A73F9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BA73F9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FD4D96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D4D96" w:rsidRPr="00013405" w14:paraId="79D86F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DC5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</w:tr>
      <w:tr w:rsidR="00FD4D96" w:rsidRPr="00013405" w14:paraId="79E3F8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582A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FD4D96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14:paraId="02C094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7970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FD4D96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FD4D96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14:paraId="0F88AC8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8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C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D6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6A3" w14:textId="77777777"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FD4D96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BA73F9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BA73F9" w:rsidRPr="00BA73F9" w:rsidRDefault="00BA73F9" w:rsidP="00BA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BA73F9" w:rsidRPr="00BA73F9" w:rsidRDefault="00BA73F9" w:rsidP="00BA73F9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FD4D96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FD4D96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</w:t>
            </w:r>
            <w:r w:rsidRPr="00013405">
              <w:rPr>
                <w:rFonts w:ascii="Times New Roman" w:hAnsi="Times New Roman" w:cs="Times New Roman"/>
              </w:rPr>
              <w:lastRenderedPageBreak/>
              <w:t>общественного питания и услуг</w:t>
            </w:r>
          </w:p>
        </w:tc>
      </w:tr>
      <w:tr w:rsidR="00FD4D96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FD4D96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сроков </w:t>
            </w:r>
            <w:r w:rsidRPr="00013405">
              <w:rPr>
                <w:rFonts w:ascii="Times New Roman" w:hAnsi="Times New Roman" w:cs="Times New Roman"/>
              </w:rPr>
              <w:lastRenderedPageBreak/>
              <w:t>регистрации договоров аренды с физических лиц</w:t>
            </w:r>
          </w:p>
        </w:tc>
      </w:tr>
      <w:tr w:rsidR="00FD4D96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FD4D96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BA73F9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E94DE0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E94DE0" w:rsidRPr="00E94DE0" w:rsidRDefault="00E94DE0" w:rsidP="00E94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E94DE0" w:rsidRPr="00E94DE0" w:rsidRDefault="00E94DE0" w:rsidP="00E9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E94DE0" w:rsidRPr="00E94DE0" w:rsidRDefault="00E94DE0" w:rsidP="00E9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E94DE0" w:rsidRPr="00E94DE0" w:rsidRDefault="00E94DE0" w:rsidP="00E9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BA73F9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BA73F9" w:rsidRPr="00BA73F9" w:rsidRDefault="00BA73F9" w:rsidP="00BA7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BA73F9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BA73F9" w:rsidRPr="00BA73F9" w:rsidRDefault="00BA73F9" w:rsidP="00BA73F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8D1AA6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8D1AA6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Штрафы, взысканные с виновных лиц за вред, причиненный государству, предприятию, учреждению, </w:t>
            </w:r>
            <w:r w:rsidRPr="00013405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8D1AA6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14:paraId="12EDEA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5F7D41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5F7D41"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5F7D41"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051BBA4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5F7D41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5F7D41"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5F7D41"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5F7D41"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5F7D41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5F7D41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5F7D41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5F7D41"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8FEF65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5F7D41"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5F7D41"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5F7D41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5F7D41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5F7D41"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5F7D41"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CBD658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1B62D3"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5F7D4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5F7D41"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D4D96"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D4D96"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5F7D41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2EEE06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D4D96"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5CEB012D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5F7D41"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5F7D41"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5F7D41"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5F7D41"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5F7D41"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5F7D41"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5F7D41"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5F7D41"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B4EE" w14:textId="77777777" w:rsidR="00B94529" w:rsidRDefault="00B94529" w:rsidP="001A2054">
      <w:pPr>
        <w:spacing w:after="0" w:line="240" w:lineRule="auto"/>
      </w:pPr>
      <w:r>
        <w:separator/>
      </w:r>
    </w:p>
  </w:endnote>
  <w:endnote w:type="continuationSeparator" w:id="0">
    <w:p w14:paraId="29E12037" w14:textId="77777777" w:rsidR="00B94529" w:rsidRDefault="00B9452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35FC" w14:textId="77777777" w:rsidR="00B94529" w:rsidRDefault="00B94529" w:rsidP="001A2054">
      <w:pPr>
        <w:spacing w:after="0" w:line="240" w:lineRule="auto"/>
      </w:pPr>
      <w:r>
        <w:separator/>
      </w:r>
    </w:p>
  </w:footnote>
  <w:footnote w:type="continuationSeparator" w:id="0">
    <w:p w14:paraId="094FF04D" w14:textId="77777777" w:rsidR="00B94529" w:rsidRDefault="00B9452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Content>
      <w:p w14:paraId="2B85B701" w14:textId="77777777" w:rsidR="009A7554" w:rsidRPr="00206939" w:rsidRDefault="009A7554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137-202005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22-20200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93E2-493F-48CF-908B-99BAC21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15782</Words>
  <Characters>89959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Глав.спец.сектора гос.рег. инф. сист. НПА Сарбей В.С.</cp:lastModifiedBy>
  <cp:revision>195</cp:revision>
  <cp:lastPrinted>2019-11-01T09:44:00Z</cp:lastPrinted>
  <dcterms:created xsi:type="dcterms:W3CDTF">2019-09-06T08:47:00Z</dcterms:created>
  <dcterms:modified xsi:type="dcterms:W3CDTF">2020-06-03T14:13:00Z</dcterms:modified>
</cp:coreProperties>
</file>