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F4" w:rsidRDefault="003E6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к Указу Главы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от 17 сентября 2020 г. № 330</w:t>
      </w:r>
    </w:p>
    <w:p w:rsidR="003E658D" w:rsidRDefault="003E658D">
      <w:pPr>
        <w:rPr>
          <w:rFonts w:ascii="Times New Roman" w:hAnsi="Times New Roman" w:cs="Times New Roman"/>
          <w:sz w:val="28"/>
          <w:szCs w:val="28"/>
        </w:rPr>
      </w:pPr>
    </w:p>
    <w:p w:rsidR="003E658D" w:rsidRDefault="003E65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58D" w:rsidRDefault="003E658D" w:rsidP="003E658D">
      <w:pPr>
        <w:pStyle w:val="11"/>
        <w:keepNext/>
        <w:keepLines/>
        <w:shd w:val="clear" w:color="auto" w:fill="auto"/>
        <w:spacing w:after="0"/>
      </w:pPr>
      <w:bookmarkStart w:id="1" w:name="bookmark4"/>
      <w:bookmarkStart w:id="2" w:name="bookmark5"/>
      <w:r>
        <w:rPr>
          <w:color w:val="000000"/>
          <w:lang w:eastAsia="ru-RU" w:bidi="ru-RU"/>
        </w:rPr>
        <w:t>ПОРЯДОК</w:t>
      </w:r>
      <w:bookmarkEnd w:id="1"/>
      <w:bookmarkEnd w:id="2"/>
    </w:p>
    <w:p w:rsidR="003E658D" w:rsidRDefault="003E658D" w:rsidP="003E658D">
      <w:pPr>
        <w:pStyle w:val="11"/>
        <w:keepNext/>
        <w:keepLines/>
        <w:shd w:val="clear" w:color="auto" w:fill="auto"/>
        <w:spacing w:after="460"/>
      </w:pPr>
      <w:bookmarkStart w:id="3" w:name="bookmark6"/>
      <w:bookmarkStart w:id="4" w:name="bookmark7"/>
      <w:r>
        <w:rPr>
          <w:color w:val="000000"/>
          <w:lang w:eastAsia="ru-RU" w:bidi="ru-RU"/>
        </w:rPr>
        <w:t xml:space="preserve">предоставления платных услуг (выполнения </w:t>
      </w:r>
      <w:proofErr w:type="gramStart"/>
      <w:r>
        <w:rPr>
          <w:color w:val="000000"/>
          <w:lang w:eastAsia="ru-RU" w:bidi="ru-RU"/>
        </w:rPr>
        <w:t>работ)</w:t>
      </w:r>
      <w:r>
        <w:rPr>
          <w:color w:val="000000"/>
          <w:lang w:eastAsia="ru-RU" w:bidi="ru-RU"/>
        </w:rPr>
        <w:br/>
        <w:t>в</w:t>
      </w:r>
      <w:proofErr w:type="gramEnd"/>
      <w:r>
        <w:rPr>
          <w:color w:val="000000"/>
          <w:lang w:eastAsia="ru-RU" w:bidi="ru-RU"/>
        </w:rPr>
        <w:t xml:space="preserve"> сфере технической инвентаризации, учета и оценки</w:t>
      </w:r>
      <w:r>
        <w:rPr>
          <w:color w:val="000000"/>
          <w:lang w:eastAsia="ru-RU" w:bidi="ru-RU"/>
        </w:rPr>
        <w:br/>
        <w:t>недвижимого имущества</w:t>
      </w:r>
      <w:bookmarkEnd w:id="3"/>
      <w:bookmarkEnd w:id="4"/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after="340"/>
        <w:ind w:firstLine="760"/>
        <w:jc w:val="both"/>
      </w:pPr>
      <w:r>
        <w:rPr>
          <w:color w:val="000000"/>
          <w:lang w:eastAsia="ru-RU" w:bidi="ru-RU"/>
        </w:rPr>
        <w:t>Настоящий Порядок определяет последовательность организации и оказания платных услуг (выполнения работ) Министерством юстиции Донецкой Народной Республики.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ind w:firstLine="760"/>
        <w:jc w:val="both"/>
      </w:pPr>
      <w:r>
        <w:rPr>
          <w:color w:val="000000"/>
          <w:lang w:eastAsia="ru-RU" w:bidi="ru-RU"/>
        </w:rPr>
        <w:t>Предоставление платных услуг (выполнение работ) осуществляется в соответствии с Перечнем платных услуг (работ) в сфере технической инвентаризации, учета и оценки недвижимого имущества, утвержденным Главой Донецкой Народной Республики.</w:t>
      </w:r>
    </w:p>
    <w:p w:rsidR="003E658D" w:rsidRDefault="003E658D" w:rsidP="003E658D">
      <w:pPr>
        <w:pStyle w:val="1"/>
        <w:shd w:val="clear" w:color="auto" w:fill="auto"/>
        <w:spacing w:after="340"/>
        <w:ind w:firstLine="760"/>
        <w:jc w:val="both"/>
      </w:pPr>
      <w:r>
        <w:rPr>
          <w:color w:val="000000"/>
          <w:lang w:eastAsia="ru-RU" w:bidi="ru-RU"/>
        </w:rPr>
        <w:t>Нормы времени на работы и услуги в сфере технической инвентаризации, учета и оценки недвижимого имущества, размер авансового платежа, форма договора, счета, акта оказанных услуг (выполненных работ) утверждаются Министерством юстиции Донецкой Народной Республики.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after="340"/>
        <w:ind w:firstLine="760"/>
        <w:jc w:val="both"/>
      </w:pPr>
      <w:r>
        <w:rPr>
          <w:color w:val="000000"/>
          <w:lang w:eastAsia="ru-RU" w:bidi="ru-RU"/>
        </w:rPr>
        <w:t>Физические лица уплачивают государственную пошлину за подачу заявлений (запросов) в сфере технической инвентаризации объектов недвижимого имущества (далее - государственная пошлина) в размере 190,00 (Сто девяносто) российских рублей 00 копеек.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ind w:firstLine="760"/>
        <w:jc w:val="both"/>
      </w:pPr>
      <w:r>
        <w:rPr>
          <w:color w:val="000000"/>
          <w:lang w:eastAsia="ru-RU" w:bidi="ru-RU"/>
        </w:rPr>
        <w:t>Юридические лица уплачивают государственную пошлину за подачу заявлений (запросов) в сфере технической инвентаризации объектов недвижимого имущества в размере 570,00 (Пятьсот семьдесят) российских рублей 00 копеек.</w:t>
      </w:r>
    </w:p>
    <w:p w:rsidR="003E658D" w:rsidRDefault="003E658D" w:rsidP="003E658D">
      <w:pPr>
        <w:pStyle w:val="1"/>
        <w:shd w:val="clear" w:color="auto" w:fill="auto"/>
        <w:spacing w:after="340"/>
        <w:ind w:firstLine="760"/>
        <w:jc w:val="both"/>
      </w:pPr>
      <w:r>
        <w:rPr>
          <w:color w:val="000000"/>
          <w:lang w:eastAsia="ru-RU" w:bidi="ru-RU"/>
        </w:rPr>
        <w:t>Оказание услуг (выполнение работ) для юридических лиц осуществляется на основании договора.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spacing w:after="340"/>
        <w:ind w:firstLine="760"/>
        <w:jc w:val="both"/>
        <w:sectPr w:rsidR="003E658D">
          <w:pgSz w:w="11900" w:h="16840"/>
          <w:pgMar w:top="1053" w:right="584" w:bottom="1084" w:left="1514" w:header="625" w:footer="656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Государственная пошлина уплачивается в наличной или безналичной форме.</w:t>
      </w:r>
    </w:p>
    <w:p w:rsidR="003E658D" w:rsidRDefault="003E658D" w:rsidP="003E658D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lastRenderedPageBreak/>
        <w:t>Факт уплаты государственной пошлины заявителем (плательщиком) в безналичной форме подтверждается платежным поручением с отметкой банка или соответствующего территориального органа Республиканского казначейства Донецкой Народной Республики (далее - Республиканское казначейство) (иного органа, осуществляющего открытие и ведение счетов, в том числе производящего расчеты в электронной форме) о его исполнении.</w:t>
      </w:r>
    </w:p>
    <w:p w:rsidR="003E658D" w:rsidRDefault="003E658D" w:rsidP="003E658D">
      <w:pPr>
        <w:pStyle w:val="1"/>
        <w:shd w:val="clear" w:color="auto" w:fill="auto"/>
        <w:spacing w:after="340"/>
        <w:ind w:firstLine="780"/>
        <w:jc w:val="both"/>
      </w:pPr>
      <w:r>
        <w:rPr>
          <w:color w:val="000000"/>
          <w:lang w:eastAsia="ru-RU" w:bidi="ru-RU"/>
        </w:rPr>
        <w:t>Факт уплаты государственной пошлины заявителем (плательщиком) в наличной форме подтверждается квитанцией, приходным кассовым ордером или платежным поручением установленной формы, выдаваемыми плательщику банком или соответствующим территориальным органом Республиканского казначейства.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firstLine="780"/>
        <w:jc w:val="both"/>
      </w:pPr>
      <w:r>
        <w:rPr>
          <w:color w:val="000000"/>
          <w:lang w:eastAsia="ru-RU" w:bidi="ru-RU"/>
        </w:rPr>
        <w:t>Физическое или юридическое лицо имеет право обратиться с письменным заявлением о предоставлении платных услуг (выполнении работ) в сфере технической инвентаризации, учета и оценки недвижимого имущества в сокращенный срок. При этом для расчета стоимости платных услуг (выполнения работ) применяется:</w:t>
      </w:r>
    </w:p>
    <w:p w:rsidR="003E658D" w:rsidRDefault="003E658D" w:rsidP="003E658D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коэффициент 2 - для срока до 12 рабочих дней;</w:t>
      </w:r>
    </w:p>
    <w:p w:rsidR="003E658D" w:rsidRDefault="003E658D" w:rsidP="003E658D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коэффициент 3 - для срока до 6 рабочих дней.</w:t>
      </w:r>
    </w:p>
    <w:p w:rsidR="003E658D" w:rsidRDefault="003E658D" w:rsidP="003E658D">
      <w:pPr>
        <w:pStyle w:val="1"/>
        <w:shd w:val="clear" w:color="auto" w:fill="auto"/>
        <w:spacing w:after="340"/>
        <w:ind w:firstLine="780"/>
        <w:jc w:val="both"/>
      </w:pPr>
      <w:r>
        <w:rPr>
          <w:color w:val="000000"/>
          <w:lang w:eastAsia="ru-RU" w:bidi="ru-RU"/>
        </w:rPr>
        <w:t>Заявление от физического или юридического лица о предоставлении платных услуг (выполнении работ) в сокращенный срок не принимается в случае отсутствия технической возможности.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80"/>
        <w:jc w:val="both"/>
      </w:pPr>
      <w:r>
        <w:rPr>
          <w:color w:val="000000"/>
          <w:lang w:eastAsia="ru-RU" w:bidi="ru-RU"/>
        </w:rPr>
        <w:t>Стоимость предоставления платной услуги (выполнения работы) (далее - плата за услуги (работы) рассчитывается на основании норм времени на предоставление такой услуги (выполнение работы) и стоимости одного нормо-часа.</w:t>
      </w:r>
    </w:p>
    <w:p w:rsidR="003E658D" w:rsidRDefault="003E658D" w:rsidP="003E658D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В определение стоимости нормо-часа платной услуги (работы) входят:</w:t>
      </w:r>
    </w:p>
    <w:p w:rsidR="003E658D" w:rsidRDefault="003E658D" w:rsidP="003E658D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прямые материальные затраты (расходы) (стоимость материалов, которые используются во время предоставления платной услуги (выполнения работы);</w:t>
      </w:r>
    </w:p>
    <w:p w:rsidR="003E658D" w:rsidRDefault="003E658D" w:rsidP="003E658D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>прямые затраты на оплату труда (расходы), исчисляемые исходя из заработной платы работника, деятельность которого непосредственно связана с предоставлением платной услуги (выполнением работы), и Единый взнос на общеобязательное государственное социальное страхование на территории Донецкой Народной Республики в соответствии с законодательством Донецкой Народной Республики;</w:t>
      </w:r>
    </w:p>
    <w:p w:rsidR="003E658D" w:rsidRDefault="003E658D" w:rsidP="003E658D">
      <w:pPr>
        <w:pStyle w:val="1"/>
        <w:shd w:val="clear" w:color="auto" w:fill="auto"/>
        <w:ind w:firstLine="780"/>
        <w:jc w:val="both"/>
      </w:pPr>
      <w:r>
        <w:rPr>
          <w:color w:val="000000"/>
          <w:lang w:eastAsia="ru-RU" w:bidi="ru-RU"/>
        </w:rPr>
        <w:t xml:space="preserve">другие прямые затраты (расходы) (затраты на оплату служебных командировок и транспортных расходов работников, деятельность </w:t>
      </w:r>
      <w:r>
        <w:rPr>
          <w:color w:val="000000"/>
          <w:lang w:eastAsia="ru-RU" w:bidi="ru-RU"/>
        </w:rPr>
        <w:lastRenderedPageBreak/>
        <w:t>которых непосредственно связана с предоставлением платной услуги, если они предусмотрены при ее предоставлении; затраты на оплату услуг связи, используемых работником, чья деятельность непосредственно связана с предоставлением платных услуг (выполнением работ);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непрямые затраты (расходы) (затраты на оплату труда административного и технического персонала, теплоснабжения, водоснабжения и водоотведения, электроэнергии, аренды строения (помещения), услуг по охране и противопожарной охране помещений, в которых предоставляются платные услуги (выполняются работы), износа основных средств и нематериальных активов (амортизация). Базой распределения непрямых затрат является основная заработная плата работников, чья деятельность связана с предоставлением платной услуги (выполнением работы);</w:t>
      </w:r>
    </w:p>
    <w:p w:rsidR="003E658D" w:rsidRDefault="003E658D" w:rsidP="003E658D">
      <w:pPr>
        <w:pStyle w:val="1"/>
        <w:shd w:val="clear" w:color="auto" w:fill="auto"/>
        <w:spacing w:after="340"/>
        <w:ind w:firstLine="760"/>
        <w:jc w:val="both"/>
      </w:pPr>
      <w:r>
        <w:rPr>
          <w:color w:val="000000"/>
          <w:lang w:eastAsia="ru-RU" w:bidi="ru-RU"/>
        </w:rPr>
        <w:t>прочие затраты (расходы) (укрепление материально-технической базы, восстановление и обновление основных средств и прочих необоротных активов, материальное поощрение работников).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60"/>
        <w:jc w:val="both"/>
      </w:pPr>
      <w:r>
        <w:rPr>
          <w:color w:val="000000"/>
          <w:lang w:eastAsia="ru-RU" w:bidi="ru-RU"/>
        </w:rPr>
        <w:t>Физические и юридические лица до оказания платных услуг (выполнения работ) в сфере технической инвентаризации при подаче соответствующего заявления уплачивают авансовый платеж, размер которого рассчитывается на основании норм времени на предоставление такой услуги (выполнение работы) и стоимости нормо-часа. Авансовый платеж не подлежит возврату после подачи заявления.</w:t>
      </w:r>
    </w:p>
    <w:p w:rsidR="003E658D" w:rsidRDefault="003E658D" w:rsidP="003E658D">
      <w:pPr>
        <w:pStyle w:val="1"/>
        <w:shd w:val="clear" w:color="auto" w:fill="auto"/>
        <w:spacing w:after="340"/>
        <w:ind w:firstLine="760"/>
        <w:jc w:val="both"/>
      </w:pPr>
      <w:r>
        <w:rPr>
          <w:color w:val="000000"/>
          <w:lang w:eastAsia="ru-RU" w:bidi="ru-RU"/>
        </w:rPr>
        <w:t>Указанные лица в случаях, предусмотренных пунктом 6 настоящего Порядка, уплачивают авансовый платеж с применением соответствующего коэффициента 2 или 3.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073"/>
        </w:tabs>
        <w:ind w:firstLine="760"/>
        <w:jc w:val="both"/>
      </w:pPr>
      <w:r>
        <w:rPr>
          <w:color w:val="000000"/>
          <w:lang w:eastAsia="ru-RU" w:bidi="ru-RU"/>
        </w:rPr>
        <w:t>Изготовленная техническая документация выдается заявителю после оплаты в полном объеме стоимости услуг (работ).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Для заявителей - юридических лиц подтверждением оказания услуг (выполнения работ) является акт оказания услуг (выполнения работ), основанием для оплаты - счет.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Факт оплаты услуг (работ), в том числе авансового платежа, заявителем (плательщиком) в безналичной форме подтверждается платежным поручением с отметкой банка или соответствующего территориального органа Республиканского казначейства (иного органа, осуществляющего открытие и ведение счетов, в том числе производящего расчеты в электронной форме) о его исполнении.</w:t>
      </w:r>
    </w:p>
    <w:p w:rsidR="003E658D" w:rsidRDefault="003E658D" w:rsidP="003E658D">
      <w:pPr>
        <w:pStyle w:val="1"/>
        <w:shd w:val="clear" w:color="auto" w:fill="auto"/>
        <w:spacing w:after="340"/>
        <w:ind w:firstLine="760"/>
        <w:jc w:val="both"/>
      </w:pPr>
      <w:r>
        <w:rPr>
          <w:color w:val="000000"/>
          <w:lang w:eastAsia="ru-RU" w:bidi="ru-RU"/>
        </w:rPr>
        <w:t xml:space="preserve">Факт оплаты услуг (работ), в том числе авансового платежа, заявителем (плательщиком) в наличной форме подтверждается квитанцией, приходным кассовым ордером или платежным поручением установленной формы, выдаваемыми плательщику банком или </w:t>
      </w:r>
      <w:r>
        <w:rPr>
          <w:color w:val="000000"/>
          <w:lang w:eastAsia="ru-RU" w:bidi="ru-RU"/>
        </w:rPr>
        <w:lastRenderedPageBreak/>
        <w:t>соответствующим территориальным органом Республиканского казначейства.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after="340"/>
        <w:ind w:firstLine="760"/>
        <w:jc w:val="both"/>
      </w:pPr>
      <w:r>
        <w:rPr>
          <w:color w:val="000000"/>
          <w:lang w:eastAsia="ru-RU" w:bidi="ru-RU"/>
        </w:rPr>
        <w:t>Государственная пошлина, а также денежные средства, поступившие от оказания платных услуг (выполнения работ) в сфере технической инвентаризации, учета и оценки недвижимого имущества, зачисляются в Республиканский бюджет Донецкой Народной Республики.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ind w:firstLine="760"/>
        <w:jc w:val="both"/>
      </w:pPr>
      <w:r>
        <w:rPr>
          <w:color w:val="000000"/>
          <w:lang w:eastAsia="ru-RU" w:bidi="ru-RU"/>
        </w:rPr>
        <w:t>Государственная пошлина, а также денежные средства, поступившие от оказания платных услуг (выполнения работ) в сфере технической инвентаризации, учета и оценки недвижимого имущества, ошибочно или излишне зачисленные в Республиканский бюджет Донецкой Народной Республики, подлежат возврату в соответствии с законодательством.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Для возврата денежных средств в случаях, предусмотренных настоящим пунктом, в Министерство юстиции Донецкой Народной Республики подаются: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письменное заявление о возврате денежных средств от плательщика с обязательным указанием почтового адреса и номера контактного телефона (для юридического лица - письмо за подписью руководителя, скрепленное печатью), обоснования необходимости возврата денежных средств, суммы платежа, подлежащей возврату;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документ, подтверждающий наличие у плательщика счета в Центральном Республиканском Банке Донецкой Народной Республики (далее - Банк); в случае отсутствия у физических лиц счетов, открытых в Банке, возврат сумм осуществляется наличными средствами через кассы Банка в соответствии с законодательством Донецкой Народной Республики;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для юридических лиц - заверенная копия свидетельства о государственной регистрации юридического лица, заверенная копия справки из Реестра статистических единиц Главного управления статистики Донецкой Народной Республики;</w:t>
      </w:r>
    </w:p>
    <w:p w:rsidR="003E658D" w:rsidRDefault="003E658D" w:rsidP="003E658D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>для физических лиц - заверенные копии документа, удостоверяющего личность, документа, подтверждающего полномочия (при необходимости), заверенная копия регистрационного номера учетной карточки налогоплательщика, за исключением физических лиц, которые по своим религиозным убеждениям в установленном порядке отказались от принятия регистрационного номера учетной карточки налогоплательщика;</w:t>
      </w:r>
    </w:p>
    <w:p w:rsidR="003E658D" w:rsidRDefault="003E658D" w:rsidP="003E658D">
      <w:pPr>
        <w:pStyle w:val="1"/>
        <w:shd w:val="clear" w:color="auto" w:fill="auto"/>
        <w:spacing w:after="340"/>
        <w:ind w:firstLine="760"/>
        <w:jc w:val="both"/>
      </w:pPr>
      <w:r>
        <w:rPr>
          <w:color w:val="000000"/>
          <w:lang w:eastAsia="ru-RU" w:bidi="ru-RU"/>
        </w:rPr>
        <w:t xml:space="preserve">оригинал платежного документа (приходного кассового ордера, квитанции, платежного поручения), подтверждающего перечисление </w:t>
      </w:r>
      <w:r>
        <w:rPr>
          <w:color w:val="000000"/>
          <w:lang w:eastAsia="ru-RU" w:bidi="ru-RU"/>
        </w:rPr>
        <w:lastRenderedPageBreak/>
        <w:t>денежных средств в Республиканский бюджет Донецкой Народной Республики.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after="340"/>
        <w:ind w:firstLine="780"/>
        <w:jc w:val="both"/>
      </w:pPr>
      <w:r>
        <w:rPr>
          <w:color w:val="000000"/>
          <w:lang w:eastAsia="ru-RU" w:bidi="ru-RU"/>
        </w:rPr>
        <w:t>Контроль правильности и своевременности поступления государственной пошлины, а также денежных средств, поступивших от оказания платных услуг (выполнения работ) в сфере технической инвентаризации, учета и оценки недвижимого имущества, ведение учета таких поступлений в разрезе административно-территориальных единиц в целях обеспечения возврата ошибочно или излишне зачисленных средств осуществляет Министерство юстиции Донецкой Народной Республики.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after="340"/>
        <w:ind w:firstLine="780"/>
        <w:jc w:val="both"/>
      </w:pPr>
      <w:r>
        <w:rPr>
          <w:color w:val="000000"/>
          <w:lang w:eastAsia="ru-RU" w:bidi="ru-RU"/>
        </w:rPr>
        <w:t>В случае отказа физического или юридического лица от внесения платы за услуги (работы) ее взыскание осуществляется в судебном порядке.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ind w:firstLine="780"/>
        <w:jc w:val="both"/>
      </w:pPr>
      <w:r>
        <w:rPr>
          <w:color w:val="000000"/>
          <w:lang w:eastAsia="ru-RU" w:bidi="ru-RU"/>
        </w:rPr>
        <w:t>От уплаты государственной пошлины и платы за услуги (работы) освобождаются органы государственной власти, иные государственные органы и органы местного самоуправления (местные администрации) Донецкой Народной Республики в случае проведения технической инвентаризации объектов недвижимого имущества, используемых для осуществления их полномочий (функций), определенных законодательством Донецкой Народной Республики.</w:t>
      </w:r>
    </w:p>
    <w:p w:rsidR="003E658D" w:rsidRDefault="003E658D" w:rsidP="003E658D">
      <w:pPr>
        <w:pStyle w:val="1"/>
        <w:shd w:val="clear" w:color="auto" w:fill="auto"/>
        <w:spacing w:after="340"/>
        <w:ind w:firstLine="780"/>
        <w:jc w:val="both"/>
      </w:pPr>
      <w:r>
        <w:rPr>
          <w:color w:val="000000"/>
          <w:lang w:eastAsia="ru-RU" w:bidi="ru-RU"/>
        </w:rPr>
        <w:t>Предоставление информации по запросам органов, указанных в абзаце первом настоящего пункта, осуществляется на безвозмездной основе.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ind w:firstLine="780"/>
        <w:jc w:val="both"/>
      </w:pPr>
      <w:r>
        <w:rPr>
          <w:color w:val="000000"/>
          <w:lang w:eastAsia="ru-RU" w:bidi="ru-RU"/>
        </w:rPr>
        <w:t>Освобождаются от уплаты государственной пошлины и платы за услуги (работы), в том числе авансового платежа, в отношении объектов жилой недвижимости: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82"/>
        </w:tabs>
        <w:ind w:firstLine="780"/>
        <w:jc w:val="both"/>
      </w:pPr>
      <w:r>
        <w:rPr>
          <w:color w:val="000000"/>
          <w:lang w:eastAsia="ru-RU" w:bidi="ru-RU"/>
        </w:rPr>
        <w:t>Инвалиды I группы, дети-инвалиды.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82"/>
        </w:tabs>
        <w:ind w:firstLine="780"/>
        <w:jc w:val="both"/>
      </w:pPr>
      <w:r>
        <w:rPr>
          <w:color w:val="000000"/>
          <w:lang w:eastAsia="ru-RU" w:bidi="ru-RU"/>
        </w:rPr>
        <w:t>Дети-сироты и дети, оставшиеся без попечения родителей.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86"/>
        </w:tabs>
        <w:ind w:firstLine="780"/>
        <w:jc w:val="both"/>
      </w:pPr>
      <w:r>
        <w:rPr>
          <w:color w:val="000000"/>
          <w:lang w:eastAsia="ru-RU" w:bidi="ru-RU"/>
        </w:rPr>
        <w:t>Инвалиды войны.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340"/>
        <w:ind w:firstLine="780"/>
        <w:jc w:val="both"/>
      </w:pPr>
      <w:r>
        <w:rPr>
          <w:color w:val="000000"/>
          <w:lang w:eastAsia="ru-RU" w:bidi="ru-RU"/>
        </w:rPr>
        <w:t>Граждане, жилые помещения которых утрачены - признаны непригодными для проживания в результате боевых действий или обстрелов на территории Донецкой Народной Республики, относительно таких объектов недвижимого имущества.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20"/>
        </w:tabs>
        <w:ind w:firstLine="780"/>
        <w:jc w:val="both"/>
      </w:pPr>
      <w:r>
        <w:rPr>
          <w:color w:val="000000"/>
          <w:lang w:eastAsia="ru-RU" w:bidi="ru-RU"/>
        </w:rPr>
        <w:t>Освобождаются от уплаты государственной пошлины и 50 % от платы за услуги (работы), в том числе авансового платежа, в отношении объектов жилой недвижимости: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after="340"/>
        <w:ind w:firstLine="780"/>
        <w:jc w:val="both"/>
      </w:pPr>
      <w:r>
        <w:rPr>
          <w:color w:val="000000"/>
          <w:lang w:eastAsia="ru-RU" w:bidi="ru-RU"/>
        </w:rPr>
        <w:t xml:space="preserve">Физические лица, отнесенные к категориям 1 и 2 лиц, </w:t>
      </w:r>
      <w:r>
        <w:rPr>
          <w:color w:val="000000"/>
          <w:lang w:eastAsia="ru-RU" w:bidi="ru-RU"/>
        </w:rPr>
        <w:lastRenderedPageBreak/>
        <w:t>пострадавших вследствие Чернобыльской катастрофы.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ind w:firstLine="760"/>
        <w:jc w:val="both"/>
      </w:pPr>
      <w:r>
        <w:rPr>
          <w:color w:val="000000"/>
          <w:lang w:eastAsia="ru-RU" w:bidi="ru-RU"/>
        </w:rPr>
        <w:t>Участники боевых действий.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69"/>
        </w:tabs>
        <w:ind w:firstLine="760"/>
        <w:jc w:val="both"/>
      </w:pPr>
      <w:r>
        <w:rPr>
          <w:color w:val="000000"/>
          <w:lang w:eastAsia="ru-RU" w:bidi="ru-RU"/>
        </w:rPr>
        <w:t>Инвалиды II группы.</w:t>
      </w:r>
    </w:p>
    <w:p w:rsidR="003E658D" w:rsidRDefault="003E658D" w:rsidP="003E658D">
      <w:pPr>
        <w:pStyle w:val="1"/>
        <w:numPr>
          <w:ilvl w:val="1"/>
          <w:numId w:val="1"/>
        </w:numPr>
        <w:shd w:val="clear" w:color="auto" w:fill="auto"/>
        <w:tabs>
          <w:tab w:val="left" w:pos="1444"/>
        </w:tabs>
        <w:spacing w:after="340"/>
        <w:ind w:firstLine="760"/>
        <w:jc w:val="both"/>
      </w:pPr>
      <w:r>
        <w:rPr>
          <w:color w:val="000000"/>
          <w:lang w:eastAsia="ru-RU" w:bidi="ru-RU"/>
        </w:rPr>
        <w:t>Комиссованные военнослужащие подгруппы А, Б, члены семей погибших (умерших) защитников Донецкой Народной Республики.</w:t>
      </w:r>
    </w:p>
    <w:p w:rsidR="003E658D" w:rsidRDefault="003E658D" w:rsidP="003E658D">
      <w:pPr>
        <w:pStyle w:val="1"/>
        <w:numPr>
          <w:ilvl w:val="0"/>
          <w:numId w:val="1"/>
        </w:numPr>
        <w:shd w:val="clear" w:color="auto" w:fill="auto"/>
        <w:tabs>
          <w:tab w:val="left" w:pos="1218"/>
        </w:tabs>
        <w:spacing w:after="340"/>
        <w:ind w:firstLine="760"/>
        <w:jc w:val="both"/>
      </w:pPr>
      <w:r>
        <w:rPr>
          <w:color w:val="000000"/>
          <w:lang w:eastAsia="ru-RU" w:bidi="ru-RU"/>
        </w:rPr>
        <w:t>При подаче заявления лицами, указанными в пунктах 15, 16 настоящего Порядка, для предоставления льготы при уплате государственной пошлины и платы за услуги (работы), в том числе авансового платежа, предъявляются документы установленного образца, действующие на территории Донецкой Народной Республики и подтверждающие такое право.</w:t>
      </w:r>
    </w:p>
    <w:p w:rsidR="003E658D" w:rsidRPr="003E658D" w:rsidRDefault="003E658D" w:rsidP="00E65756">
      <w:pPr>
        <w:pStyle w:val="1"/>
        <w:numPr>
          <w:ilvl w:val="0"/>
          <w:numId w:val="1"/>
        </w:numPr>
        <w:shd w:val="clear" w:color="auto" w:fill="auto"/>
        <w:tabs>
          <w:tab w:val="left" w:pos="1218"/>
        </w:tabs>
        <w:spacing w:after="340"/>
        <w:ind w:firstLine="760"/>
        <w:jc w:val="both"/>
        <w:rPr>
          <w:sz w:val="28"/>
          <w:szCs w:val="28"/>
        </w:rPr>
      </w:pPr>
      <w:r w:rsidRPr="003E658D">
        <w:rPr>
          <w:color w:val="000000"/>
          <w:lang w:eastAsia="ru-RU" w:bidi="ru-RU"/>
        </w:rPr>
        <w:t>В случае проведения технической инвентаризации объектов недвижимого имущества в сокращенный срок, предусмотренный пунктом 6 настоящего Порядка, лица, указанные в пунктах 15 и 16 настоящего Порядка, не освобождаются от уплаты государственной пош</w:t>
      </w:r>
      <w:r w:rsidRPr="003E658D">
        <w:rPr>
          <w:color w:val="000000"/>
          <w:lang w:eastAsia="ru-RU" w:bidi="ru-RU"/>
        </w:rPr>
        <w:t>лины и платы за услуги (работы).</w:t>
      </w:r>
    </w:p>
    <w:sectPr w:rsidR="003E658D" w:rsidRPr="003E65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8A" w:rsidRDefault="00B0018A" w:rsidP="003E658D">
      <w:pPr>
        <w:spacing w:after="0" w:line="240" w:lineRule="auto"/>
      </w:pPr>
      <w:r>
        <w:separator/>
      </w:r>
    </w:p>
  </w:endnote>
  <w:endnote w:type="continuationSeparator" w:id="0">
    <w:p w:rsidR="00B0018A" w:rsidRDefault="00B0018A" w:rsidP="003E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8A" w:rsidRDefault="00B0018A" w:rsidP="003E658D">
      <w:pPr>
        <w:spacing w:after="0" w:line="240" w:lineRule="auto"/>
      </w:pPr>
      <w:r>
        <w:separator/>
      </w:r>
    </w:p>
  </w:footnote>
  <w:footnote w:type="continuationSeparator" w:id="0">
    <w:p w:rsidR="00B0018A" w:rsidRDefault="00B0018A" w:rsidP="003E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44" w:rsidRDefault="00B0018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9609AA" wp14:editId="55FD94B3">
              <wp:simplePos x="0" y="0"/>
              <wp:positionH relativeFrom="page">
                <wp:posOffset>4058285</wp:posOffset>
              </wp:positionH>
              <wp:positionV relativeFrom="page">
                <wp:posOffset>464820</wp:posOffset>
              </wp:positionV>
              <wp:extent cx="6985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2644" w:rsidRDefault="00B0018A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658D" w:rsidRPr="003E658D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609AA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9.55pt;margin-top:36.6pt;width:5.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" filled="f" stroked="f">
              <v:textbox style="mso-fit-shape-to-text:t" inset="0,0,0,0">
                <w:txbxContent>
                  <w:p w:rsidR="004A2644" w:rsidRDefault="00B0018A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658D" w:rsidRPr="003E658D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40FA8"/>
    <w:multiLevelType w:val="multilevel"/>
    <w:tmpl w:val="8DC64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9"/>
    <w:rsid w:val="001E3449"/>
    <w:rsid w:val="003E658D"/>
    <w:rsid w:val="00832EF4"/>
    <w:rsid w:val="00B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3FE1-511C-4079-96A0-F22E75AD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58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3E658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3E65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E658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rsid w:val="003E658D"/>
    <w:pPr>
      <w:widowControl w:val="0"/>
      <w:shd w:val="clear" w:color="auto" w:fill="FFFFFF"/>
      <w:spacing w:after="4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sid w:val="003E65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E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58D"/>
  </w:style>
  <w:style w:type="paragraph" w:styleId="a6">
    <w:name w:val="footer"/>
    <w:basedOn w:val="a"/>
    <w:link w:val="a7"/>
    <w:uiPriority w:val="99"/>
    <w:unhideWhenUsed/>
    <w:rsid w:val="003E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0495-0591-4AB2-A1B1-74071C3C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2020-09-24T12:38:00Z</dcterms:created>
  <dcterms:modified xsi:type="dcterms:W3CDTF">2020-09-24T12:43:00Z</dcterms:modified>
</cp:coreProperties>
</file>