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1392E6C2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8C1EA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8C1EA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24764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247642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>
          <w:rPr>
            <w:rStyle w:val="ac"/>
          </w:rPr>
          <w:t>от </w:t>
        </w:r>
        <w:r w:rsidR="001B5D17">
          <w:rPr>
            <w:rStyle w:val="ae"/>
            <w:color w:val="0000FF"/>
            <w:u w:val="single"/>
          </w:rPr>
          <w:t>17.08.2020 № 212</w:t>
        </w:r>
      </w:hyperlink>
      <w:r w:rsidR="00782968" w:rsidRPr="0078296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782968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>
          <w:rPr>
            <w:rStyle w:val="ae"/>
            <w:color w:val="0000FF"/>
            <w:u w:val="single"/>
          </w:rPr>
          <w:t>от 21.12.2020 № 327</w:t>
        </w:r>
      </w:hyperlink>
      <w:r w:rsidR="00C10229">
        <w:t>) 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</w:t>
            </w:r>
            <w:r w:rsidRPr="00013405">
              <w:rPr>
                <w:rStyle w:val="a4"/>
                <w:rFonts w:ascii="Times New Roman" w:hAnsi="Times New Roman"/>
                <w:b w:val="0"/>
              </w:rPr>
              <w:lastRenderedPageBreak/>
              <w:t>Народной Республики ликеро-водочной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Часть чистой прибыли (дохода) муниципальных (коммунальных) унитарных предприятий и их объединений, изымаемой в соответствующий местный бюджет в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 Федерации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сбору за специальное </w:t>
            </w:r>
            <w:r w:rsidRPr="00013405">
              <w:rPr>
                <w:rFonts w:ascii="Times New Roman" w:hAnsi="Times New Roman" w:cs="Times New Roman"/>
              </w:rPr>
              <w:lastRenderedPageBreak/>
              <w:t>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Средства, полученные по результатам актов проверок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пошлина, не отнесенная к другим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6962F63E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48DA9E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19BCB72D" w:rsidR="00782968" w:rsidRPr="00782968" w:rsidRDefault="00782968" w:rsidP="00782968">
            <w:pPr>
              <w:pStyle w:val="a3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88E0" w14:textId="77777777" w:rsidR="001820D9" w:rsidRDefault="001820D9" w:rsidP="001A2054">
      <w:pPr>
        <w:spacing w:after="0" w:line="240" w:lineRule="auto"/>
      </w:pPr>
      <w:r>
        <w:separator/>
      </w:r>
    </w:p>
  </w:endnote>
  <w:endnote w:type="continuationSeparator" w:id="0">
    <w:p w14:paraId="6C976BFD" w14:textId="77777777" w:rsidR="001820D9" w:rsidRDefault="001820D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80C9" w14:textId="77777777" w:rsidR="001820D9" w:rsidRDefault="001820D9" w:rsidP="001A2054">
      <w:pPr>
        <w:spacing w:after="0" w:line="240" w:lineRule="auto"/>
      </w:pPr>
      <w:r>
        <w:separator/>
      </w:r>
    </w:p>
  </w:footnote>
  <w:footnote w:type="continuationSeparator" w:id="0">
    <w:p w14:paraId="13119562" w14:textId="77777777" w:rsidR="001820D9" w:rsidRDefault="001820D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21C-F13D-4F79-86ED-8269D69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43</Pages>
  <Words>14508</Words>
  <Characters>82701</Characters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2021-01-15T07:10:00Z</dcterms:modified>
</cp:coreProperties>
</file>