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31F25D2D" w:rsidR="0015504A" w:rsidRPr="0015504A" w:rsidRDefault="00780E22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F80715">
        <w:rPr>
          <w:rFonts w:ascii="Times New Roman" w:hAnsi="Times New Roman"/>
          <w:sz w:val="24"/>
          <w:szCs w:val="24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6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7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8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9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20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C70441" w:rsidRPr="0004550D" w14:paraId="48CBA97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4550D" w14:paraId="4565522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13405" w14:paraId="57BDFB4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16DA9738" w:rsidR="001B17D2" w:rsidRDefault="00A93747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1 16 01 057 03 0000 140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67403618" w:rsidR="001B17D2" w:rsidRPr="009B16EF" w:rsidRDefault="00A93747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Фонда социального 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922995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922995" w:rsidRPr="0004550D" w14:paraId="62CACA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6850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ввезенного на территорию Донецкой Народной Республики бензина моторного, страной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</w:t>
            </w:r>
            <w:r w:rsidRPr="00013405">
              <w:rPr>
                <w:rFonts w:ascii="Times New Roman" w:hAnsi="Times New Roman" w:cs="Times New Roman"/>
              </w:rPr>
              <w:lastRenderedPageBreak/>
              <w:t>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B387A" w:rsidRPr="00013405" w14:paraId="4CA15E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AFE" w14:textId="2D67FCBA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8D58" w14:textId="0957481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877" w14:textId="74761A28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B7F" w14:textId="71D6756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B40E11" w:rsidRPr="00013405" w14:paraId="2DDD502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0EA" w14:textId="08DB1DA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421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12D" w14:textId="590E3F0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209" w14:textId="1295C15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98B" w14:textId="16263A5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21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5B734F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22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23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24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25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26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27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 xml:space="preserve">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F2181B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F2181B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819 Управление финансов администрации </w:t>
            </w:r>
            <w:proofErr w:type="spellStart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Волновахского</w:t>
            </w:r>
            <w:proofErr w:type="spellEnd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078D962E" w:rsidR="00EE24F7" w:rsidRPr="00DD72B3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28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sectPr w:rsidR="00EE24F7" w:rsidRPr="00DD72B3" w:rsidSect="00FD4D96">
      <w:headerReference w:type="defaul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69DDD" w14:textId="77777777" w:rsidR="00780E22" w:rsidRDefault="00780E22" w:rsidP="001A2054">
      <w:pPr>
        <w:spacing w:after="0" w:line="240" w:lineRule="auto"/>
      </w:pPr>
      <w:r>
        <w:separator/>
      </w:r>
    </w:p>
  </w:endnote>
  <w:endnote w:type="continuationSeparator" w:id="0">
    <w:p w14:paraId="6D3325B1" w14:textId="77777777" w:rsidR="00780E22" w:rsidRDefault="00780E22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1DCEC" w14:textId="77777777" w:rsidR="00780E22" w:rsidRDefault="00780E22" w:rsidP="001A2054">
      <w:pPr>
        <w:spacing w:after="0" w:line="240" w:lineRule="auto"/>
      </w:pPr>
      <w:r>
        <w:separator/>
      </w:r>
    </w:p>
  </w:footnote>
  <w:footnote w:type="continuationSeparator" w:id="0">
    <w:p w14:paraId="26A4C1E8" w14:textId="77777777" w:rsidR="00780E22" w:rsidRDefault="00780E22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3ACF"/>
    <w:rsid w:val="00D27C59"/>
    <w:rsid w:val="00D27F80"/>
    <w:rsid w:val="00D307C1"/>
    <w:rsid w:val="00D31211"/>
    <w:rsid w:val="00D314FC"/>
    <w:rsid w:val="00D43B0D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s://gisnpa-dnr.ru/npa/0025-30-20210212/" TargetMode="External"/><Relationship Id="rId26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59-20220413/" TargetMode="Externa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s://gisnpa-dnr.ru/npa/0025-30-20210212/" TargetMode="External"/><Relationship Id="rId25" Type="http://schemas.openxmlformats.org/officeDocument/2006/relationships/hyperlink" Target="http://gisnpa-dnr.ru/npa/0025-59-202204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30-20210212/" TargetMode="External"/><Relationship Id="rId20" Type="http://schemas.openxmlformats.org/officeDocument/2006/relationships/hyperlink" Target="https://gisnpa-dnr.ru/npa/0025-116-20210628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://gisnpa-dnr.ru/npa/0025-59-2022041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://gisnpa-dnr.ru/npa/0025-59-20220413/" TargetMode="External"/><Relationship Id="rId28" Type="http://schemas.openxmlformats.org/officeDocument/2006/relationships/hyperlink" Target="http://gisnpa-dnr.ru/npa/0025-65-20220418/" TargetMode="Externa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s://gisnpa-dnr.ru/npa/0025-30-20210212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://gisnpa-dnr.ru/npa/0025-59-20220413/" TargetMode="External"/><Relationship Id="rId27" Type="http://schemas.openxmlformats.org/officeDocument/2006/relationships/hyperlink" Target="http://gisnpa-dnr.ru/npa/0025-59-20220413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C06C-21BF-43BE-8D82-4DEFC9C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63</Pages>
  <Words>22416</Words>
  <Characters>127772</Characters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2022-09-20T08:36:00Z</dcterms:modified>
</cp:coreProperties>
</file>