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89CD" w14:textId="77777777" w:rsidR="00297F2F" w:rsidRPr="00D40D74" w:rsidRDefault="00297F2F" w:rsidP="007A125A">
      <w:pPr>
        <w:widowControl w:val="0"/>
        <w:autoSpaceDE w:val="0"/>
        <w:autoSpaceDN w:val="0"/>
        <w:adjustRightInd w:val="0"/>
        <w:ind w:left="4962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7A125A">
      <w:pPr>
        <w:pStyle w:val="ConsPlusNormal"/>
        <w:spacing w:after="12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59F702DF" w14:textId="7880ACCE" w:rsidR="00297F2F" w:rsidRPr="00394F2A" w:rsidRDefault="002B3BA6" w:rsidP="00394F2A">
      <w:pPr>
        <w:pStyle w:val="ConsPlusNormal"/>
        <w:spacing w:line="276" w:lineRule="auto"/>
        <w:ind w:left="4962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B3BA6">
        <w:rPr>
          <w:rFonts w:ascii="Times New Roman" w:hAnsi="Times New Roman" w:cs="Times New Roman"/>
          <w:sz w:val="24"/>
          <w:szCs w:val="24"/>
        </w:rPr>
        <w:t>(в ред. приказов Министерства финансов</w:t>
      </w:r>
      <w:r>
        <w:rPr>
          <w:rFonts w:ascii="Times New Roman" w:hAnsi="Times New Roman" w:cs="Times New Roman"/>
          <w:sz w:val="24"/>
          <w:szCs w:val="24"/>
        </w:rPr>
        <w:br/>
        <w:t>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№ 155, от 25.10.2019 № 164, от 10.01.2020 № 8, от 18.02.2020 № 36, от 26.02.2020 № 43, от 28.02.2020 № 53, от 16.03.2020 № 72,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175,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21.10.2020 № 278, от 21.10.2020 № 277,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21.12.2020 № 326, от 04.09.2020 № 230,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09.04.2021 № 66, от 06.04.2021 №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</w:t>
        </w:r>
        <w:r w:rsidR="007A125A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7A125A" w:rsidRPr="007A125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5E433E" w:rsidRPr="005E433E">
          <w:rPr>
            <w:rStyle w:val="ac"/>
            <w:rFonts w:ascii="Times New Roman" w:hAnsi="Times New Roman"/>
            <w:i/>
            <w:iCs/>
            <w:sz w:val="24"/>
            <w:szCs w:val="24"/>
          </w:rPr>
          <w:t>от 17.02.2022 № 39</w:t>
        </w:r>
      </w:hyperlink>
      <w:r w:rsidR="005E433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 </w:t>
      </w:r>
      <w:hyperlink r:id="rId12" w:history="1">
        <w:r w:rsidR="007A125A" w:rsidRPr="007A125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05.03.2022 № 46</w:t>
        </w:r>
      </w:hyperlink>
      <w:r w:rsidR="00394F2A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3" w:history="1"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от 1</w:t>
        </w:r>
        <w:r w:rsidR="00FF5B0D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8</w:t>
        </w:r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.04.2022 № 65</w:t>
        </w:r>
      </w:hyperlink>
      <w:r w:rsidR="00A1723D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anchor="0025-92-20220624-1-1" w:tgtFrame="_blank" w:history="1">
        <w:r w:rsidR="00A1723D" w:rsidRPr="00A1723D">
          <w:rPr>
            <w:rStyle w:val="ac"/>
            <w:rFonts w:ascii="Times New Roman" w:hAnsi="Times New Roman"/>
            <w:i/>
            <w:iCs/>
            <w:sz w:val="24"/>
            <w:szCs w:val="24"/>
          </w:rPr>
          <w:t>от 24.06.2022 № 92</w:t>
        </w:r>
      </w:hyperlink>
      <w:r w:rsidR="00E7713F">
        <w:rPr>
          <w:rStyle w:val="ac"/>
          <w:rFonts w:ascii="Times New Roman" w:hAnsi="Times New Roman"/>
          <w:i/>
          <w:iCs/>
          <w:sz w:val="24"/>
          <w:szCs w:val="24"/>
        </w:rPr>
        <w:t xml:space="preserve">, </w:t>
      </w:r>
      <w:hyperlink r:id="rId15" w:anchor="0025-129-20220812-1-1" w:tgtFrame="_blank" w:history="1">
        <w:r w:rsidR="00E7713F" w:rsidRPr="00E7713F">
          <w:rPr>
            <w:rStyle w:val="ac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E7713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)</w:t>
      </w:r>
    </w:p>
    <w:p w14:paraId="1D0C7867" w14:textId="77777777" w:rsidR="002B3BA6" w:rsidRPr="00D40D74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65ED91DF" w:rsidR="00E61B7E" w:rsidRPr="00D40D74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5E433E" w:rsidRPr="00D40D74" w14:paraId="568EB661" w14:textId="77777777" w:rsidTr="00035B16">
        <w:tc>
          <w:tcPr>
            <w:tcW w:w="609" w:type="dxa"/>
            <w:vAlign w:val="center"/>
          </w:tcPr>
          <w:p w14:paraId="63944B7E" w14:textId="78CDD49F" w:rsidR="005E433E" w:rsidRPr="005E433E" w:rsidRDefault="005E433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B211C08" w14:textId="754F18FB" w:rsidR="005E433E" w:rsidRPr="005E433E" w:rsidRDefault="005E433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Cs/>
                <w:sz w:val="24"/>
                <w:szCs w:val="24"/>
              </w:rPr>
            </w:pPr>
            <w:r w:rsidRPr="005E433E">
              <w:rPr>
                <w:rFonts w:cs="Times New Roman"/>
                <w:bCs/>
                <w:sz w:val="24"/>
                <w:szCs w:val="24"/>
              </w:rPr>
              <w:t>003    01   00</w:t>
            </w:r>
          </w:p>
        </w:tc>
        <w:tc>
          <w:tcPr>
            <w:tcW w:w="7310" w:type="dxa"/>
            <w:vAlign w:val="center"/>
          </w:tcPr>
          <w:p w14:paraId="503D3107" w14:textId="06D10ABE" w:rsidR="005E433E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субсидирования процентной ставки по кредитным договорам</w:t>
            </w:r>
          </w:p>
        </w:tc>
      </w:tr>
      <w:tr w:rsidR="007A125A" w:rsidRPr="00D40D74" w14:paraId="1A7D5EE3" w14:textId="77777777" w:rsidTr="00663BC2">
        <w:tc>
          <w:tcPr>
            <w:tcW w:w="609" w:type="dxa"/>
          </w:tcPr>
          <w:p w14:paraId="344DEAC3" w14:textId="47FEF6B5" w:rsidR="007A125A" w:rsidRPr="007A125A" w:rsidRDefault="007A125A" w:rsidP="007A12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lastRenderedPageBreak/>
              <w:t>11</w:t>
            </w:r>
            <w:r w:rsidRPr="00FA22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</w:tcPr>
          <w:p w14:paraId="2C341BF3" w14:textId="1B4B5B44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003   02   00</w:t>
            </w:r>
          </w:p>
        </w:tc>
        <w:tc>
          <w:tcPr>
            <w:tcW w:w="7310" w:type="dxa"/>
          </w:tcPr>
          <w:p w14:paraId="6620FC56" w14:textId="34F90D8E" w:rsidR="007A125A" w:rsidRPr="007A125A" w:rsidRDefault="007A125A" w:rsidP="007A1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Расходы республиканского бюджета 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A1723D" w:rsidRPr="00D40D74" w14:paraId="4A3C3553" w14:textId="77777777" w:rsidTr="00035B16">
        <w:tc>
          <w:tcPr>
            <w:tcW w:w="609" w:type="dxa"/>
            <w:vAlign w:val="center"/>
          </w:tcPr>
          <w:p w14:paraId="664EAF29" w14:textId="582859F7" w:rsidR="00A1723D" w:rsidRPr="00D40D74" w:rsidRDefault="00A1723D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</w:t>
            </w:r>
            <w:r w:rsidRPr="00A1723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3A2976D" w14:textId="1A3750EB" w:rsidR="00A1723D" w:rsidRPr="00D40D74" w:rsidRDefault="00A1723D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011   07   00</w:t>
            </w:r>
          </w:p>
        </w:tc>
        <w:tc>
          <w:tcPr>
            <w:tcW w:w="7310" w:type="dxa"/>
            <w:vAlign w:val="center"/>
          </w:tcPr>
          <w:p w14:paraId="3F982124" w14:textId="11377EF1" w:rsidR="00A1723D" w:rsidRPr="00D40D74" w:rsidRDefault="00A1723D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социальной, инженерной и инновационной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lastRenderedPageBreak/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Министерства финансов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 xml:space="preserve">Ежегодная денежная выплата лицам, награжденным нагрудным знаком </w:t>
            </w: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lastRenderedPageBreak/>
              <w:t>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lastRenderedPageBreak/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E7713F" w:rsidRPr="00D40D74" w14:paraId="268CD989" w14:textId="77777777" w:rsidTr="00A715CD">
        <w:tc>
          <w:tcPr>
            <w:tcW w:w="609" w:type="dxa"/>
          </w:tcPr>
          <w:p w14:paraId="4ADDB192" w14:textId="09D62EED" w:rsidR="00E7713F" w:rsidRPr="00E7713F" w:rsidRDefault="00E7713F" w:rsidP="00E7713F">
            <w:pPr>
              <w:jc w:val="center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257</w:t>
            </w:r>
            <w:r w:rsidRPr="00E7713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0" w:type="dxa"/>
          </w:tcPr>
          <w:p w14:paraId="35F207E1" w14:textId="78D2E421" w:rsidR="00E7713F" w:rsidRPr="00E7713F" w:rsidRDefault="00E7713F" w:rsidP="00E7713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024   08   06</w:t>
            </w:r>
          </w:p>
        </w:tc>
        <w:tc>
          <w:tcPr>
            <w:tcW w:w="7310" w:type="dxa"/>
          </w:tcPr>
          <w:p w14:paraId="2125146A" w14:textId="4D86C25E" w:rsidR="00E7713F" w:rsidRPr="00E7713F" w:rsidRDefault="00E7713F" w:rsidP="00E7713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Выплата пособия на погребение пенсионеров за счет средств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членов Общественной палаты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D5351D" w:rsidRPr="00D40D74" w14:paraId="3A8E0E95" w14:textId="77777777" w:rsidTr="00877E73">
        <w:tc>
          <w:tcPr>
            <w:tcW w:w="609" w:type="dxa"/>
            <w:vAlign w:val="center"/>
          </w:tcPr>
          <w:p w14:paraId="36D3594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64EAB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124460" w:rsidRPr="00D40D74" w14:paraId="6890C05B" w14:textId="77777777" w:rsidTr="00877E73">
        <w:tc>
          <w:tcPr>
            <w:tcW w:w="609" w:type="dxa"/>
            <w:vAlign w:val="center"/>
          </w:tcPr>
          <w:p w14:paraId="50A4640E" w14:textId="07010F23" w:rsidR="00124460" w:rsidRPr="00124460" w:rsidRDefault="00124460" w:rsidP="001244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 w:colFirst="0" w:colLast="2"/>
            <w:r w:rsidRPr="00124460">
              <w:rPr>
                <w:rFonts w:cs="Times New Roman"/>
                <w:color w:val="0A0A0A"/>
                <w:sz w:val="24"/>
                <w:szCs w:val="24"/>
              </w:rPr>
              <w:t>334</w:t>
            </w:r>
            <w:r w:rsidRPr="00124460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4D9F5C94" w14:textId="4EAE627E" w:rsidR="00124460" w:rsidRPr="00124460" w:rsidRDefault="00124460" w:rsidP="0012446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031   06   00</w:t>
            </w:r>
          </w:p>
        </w:tc>
        <w:tc>
          <w:tcPr>
            <w:tcW w:w="7310" w:type="dxa"/>
            <w:vAlign w:val="center"/>
          </w:tcPr>
          <w:p w14:paraId="75AF7E64" w14:textId="13055F22" w:rsidR="00124460" w:rsidRPr="00124460" w:rsidRDefault="00124460" w:rsidP="0012446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bookmarkEnd w:id="0"/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проведение оценки технического состояния и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Расходы на ведение Государственного земельного кадастра,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663BC2" w:rsidRPr="00D40D74" w14:paraId="5B496690" w14:textId="77777777" w:rsidTr="006A6BDE">
        <w:tc>
          <w:tcPr>
            <w:tcW w:w="609" w:type="dxa"/>
            <w:vAlign w:val="center"/>
          </w:tcPr>
          <w:p w14:paraId="4F48EF9D" w14:textId="1B022619" w:rsidR="00663BC2" w:rsidRPr="00663BC2" w:rsidRDefault="00663BC2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395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C1D3A2B" w14:textId="4523EA4A" w:rsidR="00663BC2" w:rsidRPr="00D40D74" w:rsidRDefault="00663BC2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041   02    00</w:t>
            </w:r>
          </w:p>
        </w:tc>
        <w:tc>
          <w:tcPr>
            <w:tcW w:w="7310" w:type="dxa"/>
            <w:vAlign w:val="center"/>
          </w:tcPr>
          <w:p w14:paraId="484D5F2F" w14:textId="2463F11F" w:rsidR="00663BC2" w:rsidRPr="00186E9A" w:rsidRDefault="00663BC2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663B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  <w:r w:rsidR="0018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(строка 395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vertAlign w:val="superscript"/>
              </w:rPr>
              <w:t xml:space="preserve">1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введена приказом Министерства финансов ДНР </w:t>
            </w:r>
            <w:hyperlink r:id="rId16" w:history="1"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от 1</w:t>
              </w:r>
              <w:r w:rsidR="00FF5B0D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8</w:t>
              </w:r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.04.2022 № 65</w:t>
              </w:r>
            </w:hyperlink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капитального ремонта многоквартирных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lastRenderedPageBreak/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5FA857B1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71AEECBD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2022 году</w:t>
            </w:r>
          </w:p>
        </w:tc>
      </w:tr>
      <w:tr w:rsidR="007A125A" w:rsidRPr="00D40D74" w14:paraId="7B5F207F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292AE34F" w:rsidR="007A125A" w:rsidRPr="007A125A" w:rsidRDefault="007A125A" w:rsidP="007A12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rFonts w:cs="Times New Roman"/>
                <w:sz w:val="24"/>
                <w:szCs w:val="24"/>
              </w:rPr>
              <w:t>490</w:t>
            </w:r>
            <w:r w:rsidRPr="007A125A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722CDC77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25A">
              <w:rPr>
                <w:rFonts w:cs="Times New Roman"/>
                <w:sz w:val="24"/>
                <w:szCs w:val="24"/>
              </w:rPr>
              <w:t>056   07   03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7F3" w14:textId="6C38433F" w:rsidR="007A125A" w:rsidRPr="007A125A" w:rsidRDefault="007A125A" w:rsidP="007A125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базы для отдельных ведомств Донецкой Народной Республики в 2022 году</w:t>
            </w:r>
          </w:p>
        </w:tc>
      </w:tr>
      <w:tr w:rsidR="000B391B" w:rsidRPr="00D40D74" w14:paraId="557B986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 в 2022 году</w:t>
            </w:r>
          </w:p>
        </w:tc>
      </w:tr>
      <w:tr w:rsidR="00D2494B" w:rsidRPr="00D40D74" w14:paraId="33DB2AF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17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EC30" w14:textId="77777777" w:rsidR="00225057" w:rsidRDefault="00225057">
      <w:r>
        <w:separator/>
      </w:r>
    </w:p>
  </w:endnote>
  <w:endnote w:type="continuationSeparator" w:id="0">
    <w:p w14:paraId="77DC0E1D" w14:textId="77777777" w:rsidR="00225057" w:rsidRDefault="0022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C9B48" w14:textId="77777777" w:rsidR="00225057" w:rsidRDefault="00225057">
      <w:r>
        <w:separator/>
      </w:r>
    </w:p>
  </w:footnote>
  <w:footnote w:type="continuationSeparator" w:id="0">
    <w:p w14:paraId="5B13635D" w14:textId="77777777" w:rsidR="00225057" w:rsidRDefault="0022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663BC2" w:rsidRPr="00626D32" w:rsidRDefault="00663BC2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663BC2" w:rsidRDefault="00663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24460"/>
    <w:rsid w:val="00130A00"/>
    <w:rsid w:val="0014148D"/>
    <w:rsid w:val="001415B5"/>
    <w:rsid w:val="001524D2"/>
    <w:rsid w:val="00186E9A"/>
    <w:rsid w:val="001A0078"/>
    <w:rsid w:val="001A5452"/>
    <w:rsid w:val="001D1FC5"/>
    <w:rsid w:val="001F572F"/>
    <w:rsid w:val="001F791E"/>
    <w:rsid w:val="00225057"/>
    <w:rsid w:val="00243F2E"/>
    <w:rsid w:val="002469D6"/>
    <w:rsid w:val="00267E03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9280A"/>
    <w:rsid w:val="00394C2B"/>
    <w:rsid w:val="00394F2A"/>
    <w:rsid w:val="003965FE"/>
    <w:rsid w:val="003C290F"/>
    <w:rsid w:val="003D5B9F"/>
    <w:rsid w:val="003E0D2B"/>
    <w:rsid w:val="003F0FA7"/>
    <w:rsid w:val="00413A30"/>
    <w:rsid w:val="00423448"/>
    <w:rsid w:val="0043272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5E433E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63BC2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48A"/>
    <w:rsid w:val="00765955"/>
    <w:rsid w:val="007919BE"/>
    <w:rsid w:val="007A125A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F6308"/>
    <w:rsid w:val="00A1723D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34B12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7713F"/>
    <w:rsid w:val="00E85CB9"/>
    <w:rsid w:val="00E91DA8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A227E"/>
    <w:rsid w:val="00FD139F"/>
    <w:rsid w:val="00FD4F88"/>
    <w:rsid w:val="00FE2161"/>
    <w:rsid w:val="00FF0D2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9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hyperlink" Target="http://gisnpa-dnr.ru/npa/0025-65-2022041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yperlink" Target="https://gisnpa-dnr.ru/npa/0025-46-2022030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isnpa-dnr.ru/npa/0025-65-2022041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9-2022021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29-20220812/" TargetMode="External"/><Relationship Id="rId10" Type="http://schemas.openxmlformats.org/officeDocument/2006/relationships/hyperlink" Target="https://gisnpa-dnr.ru/npa/0025-304-2021122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hyperlink" Target="https://gisnpa-dnr.ru/npa/0025-92-20220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21CC-29E7-418B-BB2E-BF4CA565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9217</Words>
  <Characters>52543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2020-09-03T06:45:00Z</dcterms:created>
  <dcterms:modified xsi:type="dcterms:W3CDTF">2022-10-13T11:26:00Z</dcterms:modified>
</cp:coreProperties>
</file>