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E7D38" w14:textId="77777777" w:rsidR="00520ED0" w:rsidRDefault="00DE4504">
      <w:pPr>
        <w:pStyle w:val="1"/>
        <w:spacing w:after="300"/>
        <w:ind w:left="5660" w:firstLine="0"/>
        <w:jc w:val="both"/>
      </w:pPr>
      <w:r>
        <w:t>Приложение 1</w:t>
      </w:r>
    </w:p>
    <w:p w14:paraId="172694AE" w14:textId="77777777" w:rsidR="00520ED0" w:rsidRDefault="00DE4504">
      <w:pPr>
        <w:pStyle w:val="1"/>
        <w:spacing w:after="300"/>
        <w:ind w:left="5660" w:firstLine="0"/>
        <w:jc w:val="both"/>
      </w:pPr>
      <w:r>
        <w:t>УТВЕРЖДЕНО</w:t>
      </w:r>
    </w:p>
    <w:p w14:paraId="3E2287B1" w14:textId="6660092A" w:rsidR="00520ED0" w:rsidRDefault="00DE4504" w:rsidP="005C1981">
      <w:pPr>
        <w:pStyle w:val="1"/>
        <w:ind w:left="5660" w:firstLine="20"/>
      </w:pPr>
      <w:r>
        <w:t>Распоряжением Правительства Донецкой Народной Республики от 20 апреля 2023 г. № 28-Р5</w:t>
      </w:r>
    </w:p>
    <w:p w14:paraId="13001E69" w14:textId="036E4EF7" w:rsidR="005C1981" w:rsidRPr="005C1981" w:rsidRDefault="005C1981" w:rsidP="005C1981">
      <w:pPr>
        <w:pStyle w:val="1"/>
        <w:ind w:left="5660" w:firstLine="20"/>
        <w:rPr>
          <w:i/>
          <w:iCs/>
        </w:rPr>
      </w:pPr>
      <w:r>
        <w:t>(</w:t>
      </w:r>
      <w:r w:rsidRPr="005C1981">
        <w:rPr>
          <w:i/>
          <w:iCs/>
          <w:color w:val="A6A6A6" w:themeColor="background1" w:themeShade="A6"/>
        </w:rPr>
        <w:t>в ред. распоряжения Правительства ДНР</w:t>
      </w:r>
      <w:r w:rsidRPr="005C1981">
        <w:rPr>
          <w:i/>
          <w:iCs/>
        </w:rPr>
        <w:t xml:space="preserve"> </w:t>
      </w:r>
    </w:p>
    <w:p w14:paraId="39D815F9" w14:textId="3AAE10AC" w:rsidR="005C1981" w:rsidRDefault="0021352F" w:rsidP="005C1981">
      <w:pPr>
        <w:pStyle w:val="1"/>
        <w:spacing w:after="560"/>
        <w:ind w:left="5660" w:firstLine="20"/>
      </w:pPr>
      <w:hyperlink r:id="rId7" w:history="1">
        <w:r w:rsidR="005C1981" w:rsidRPr="0021352F">
          <w:rPr>
            <w:rStyle w:val="a6"/>
            <w:i/>
            <w:iCs/>
          </w:rPr>
          <w:t>от 30.11.2023 № 101-Р4</w:t>
        </w:r>
      </w:hyperlink>
      <w:r w:rsidR="005C1981">
        <w:t>)</w:t>
      </w:r>
      <w:bookmarkStart w:id="0" w:name="_GoBack"/>
      <w:bookmarkEnd w:id="0"/>
    </w:p>
    <w:p w14:paraId="4DBC58C8" w14:textId="77777777" w:rsidR="00520ED0" w:rsidRDefault="00DE4504">
      <w:pPr>
        <w:pStyle w:val="1"/>
        <w:ind w:firstLine="0"/>
        <w:jc w:val="center"/>
      </w:pPr>
      <w:r>
        <w:rPr>
          <w:b/>
          <w:bCs/>
        </w:rPr>
        <w:t>ПОЛОЖЕНИЕ</w:t>
      </w:r>
    </w:p>
    <w:p w14:paraId="4DA6D56F" w14:textId="77777777" w:rsidR="00520ED0" w:rsidRDefault="00DE4504">
      <w:pPr>
        <w:pStyle w:val="1"/>
        <w:spacing w:after="400"/>
        <w:ind w:firstLine="0"/>
        <w:jc w:val="center"/>
      </w:pPr>
      <w:r>
        <w:rPr>
          <w:b/>
          <w:bCs/>
        </w:rPr>
        <w:t>о Межведомственной комиссии при Правительстве Донецкой Народной</w:t>
      </w:r>
      <w:r>
        <w:rPr>
          <w:b/>
          <w:bCs/>
        </w:rPr>
        <w:br/>
        <w:t>Республики по вопросам реализации государственной политики в сфере</w:t>
      </w:r>
      <w:r>
        <w:rPr>
          <w:b/>
          <w:bCs/>
        </w:rPr>
        <w:br/>
        <w:t>использования информационных технологий в деятельности органов</w:t>
      </w:r>
      <w:r>
        <w:rPr>
          <w:b/>
          <w:bCs/>
        </w:rPr>
        <w:br/>
        <w:t>исполнительной власти Донецкой Народной Республики</w:t>
      </w:r>
    </w:p>
    <w:p w14:paraId="1456E8EE" w14:textId="77777777" w:rsidR="00520ED0" w:rsidRDefault="00DE4504">
      <w:pPr>
        <w:pStyle w:val="11"/>
        <w:keepNext/>
        <w:keepLines/>
        <w:numPr>
          <w:ilvl w:val="0"/>
          <w:numId w:val="1"/>
        </w:numPr>
        <w:tabs>
          <w:tab w:val="left" w:pos="303"/>
        </w:tabs>
        <w:spacing w:after="300"/>
      </w:pPr>
      <w:bookmarkStart w:id="1" w:name="bookmark2"/>
      <w:bookmarkStart w:id="2" w:name="bookmark0"/>
      <w:bookmarkStart w:id="3" w:name="bookmark1"/>
      <w:bookmarkStart w:id="4" w:name="bookmark3"/>
      <w:bookmarkEnd w:id="1"/>
      <w:r>
        <w:t>Общие положения</w:t>
      </w:r>
      <w:bookmarkEnd w:id="2"/>
      <w:bookmarkEnd w:id="3"/>
      <w:bookmarkEnd w:id="4"/>
    </w:p>
    <w:p w14:paraId="6532B1A0" w14:textId="3CDF3F8A" w:rsidR="00520ED0" w:rsidRDefault="003D1E4C">
      <w:pPr>
        <w:pStyle w:val="1"/>
        <w:ind w:firstLine="720"/>
        <w:jc w:val="both"/>
      </w:pPr>
      <w:r>
        <w:t>1.1.</w:t>
      </w:r>
      <w:r w:rsidR="00DE4504">
        <w:t xml:space="preserve"> Настоящее Положение устанавливает порядок деятельности Межведомственной комиссии при Правительстве Донецкой Народной Республики по вопросам реализации государственной политики в сфере использования информационных технологий в деятельности органов исполнительной власти Донецкой Народной Республики (далее - Межведомственная комиссия).</w:t>
      </w:r>
    </w:p>
    <w:p w14:paraId="64D525AF" w14:textId="4748A09E" w:rsidR="00520ED0" w:rsidRDefault="003D1E4C">
      <w:pPr>
        <w:pStyle w:val="1"/>
        <w:ind w:firstLine="720"/>
        <w:jc w:val="both"/>
      </w:pPr>
      <w:r>
        <w:t>1.</w:t>
      </w:r>
      <w:r w:rsidR="00DE4504">
        <w:t>2. Межведомственная комиссия в своей деятельности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Конституцией Донецкой Народной Республики, законами Донецкой Народной Республики, нормативными правовыми актами Главы Донецкой Народной Республики, Правительства Донецкой Народной Республики и иными актами Донецкой Народной Республики, а также настоящим Положением.</w:t>
      </w:r>
    </w:p>
    <w:p w14:paraId="60138D41" w14:textId="34177236" w:rsidR="00520ED0" w:rsidRDefault="003D1E4C">
      <w:pPr>
        <w:pStyle w:val="1"/>
        <w:ind w:firstLine="720"/>
        <w:jc w:val="both"/>
      </w:pPr>
      <w:r>
        <w:t>1.</w:t>
      </w:r>
      <w:r w:rsidR="00DE4504">
        <w:t>З. Задачами Межведомственной комиссии являются содействие:</w:t>
      </w:r>
    </w:p>
    <w:p w14:paraId="691ED8EB" w14:textId="77777777" w:rsidR="00520ED0" w:rsidRDefault="00DE4504">
      <w:pPr>
        <w:pStyle w:val="1"/>
        <w:tabs>
          <w:tab w:val="left" w:pos="1062"/>
        </w:tabs>
        <w:ind w:firstLine="720"/>
        <w:jc w:val="both"/>
      </w:pPr>
      <w:bookmarkStart w:id="5" w:name="bookmark4"/>
      <w:r>
        <w:t>а</w:t>
      </w:r>
      <w:bookmarkEnd w:id="5"/>
      <w:r>
        <w:t>)</w:t>
      </w:r>
      <w:r>
        <w:tab/>
        <w:t>развитию и использованию информационных технологий и цифровых платформ в деятельности органов исполнительной власти Донецкой Народной Республики, в том числе при предоставлении ими государственных услуг и исполнении государственных функций;</w:t>
      </w:r>
    </w:p>
    <w:p w14:paraId="5F749532" w14:textId="77777777" w:rsidR="00520ED0" w:rsidRDefault="00DE4504">
      <w:pPr>
        <w:pStyle w:val="1"/>
        <w:tabs>
          <w:tab w:val="left" w:pos="1081"/>
          <w:tab w:val="left" w:pos="4037"/>
          <w:tab w:val="left" w:pos="6768"/>
        </w:tabs>
        <w:ind w:firstLine="720"/>
        <w:jc w:val="both"/>
      </w:pPr>
      <w:bookmarkStart w:id="6" w:name="bookmark5"/>
      <w:r>
        <w:t>б</w:t>
      </w:r>
      <w:bookmarkEnd w:id="6"/>
      <w:r>
        <w:t>)</w:t>
      </w:r>
      <w:r>
        <w:tab/>
        <w:t>формированию</w:t>
      </w:r>
      <w:r>
        <w:tab/>
        <w:t>современной</w:t>
      </w:r>
      <w:r>
        <w:tab/>
        <w:t>телекоммуникационной</w:t>
      </w:r>
    </w:p>
    <w:p w14:paraId="168C999A" w14:textId="77777777" w:rsidR="00520ED0" w:rsidRDefault="00DE4504">
      <w:pPr>
        <w:pStyle w:val="1"/>
        <w:ind w:firstLine="0"/>
        <w:jc w:val="both"/>
      </w:pPr>
      <w:r>
        <w:t>и информационной инфраструктуры, общего информационного пространства и защищенной информационной среды органов исполнительной власти Донецкой Народной Республики;</w:t>
      </w:r>
    </w:p>
    <w:p w14:paraId="2AED54C8" w14:textId="77777777" w:rsidR="00520ED0" w:rsidRDefault="00DE4504">
      <w:pPr>
        <w:pStyle w:val="1"/>
        <w:tabs>
          <w:tab w:val="left" w:pos="1071"/>
        </w:tabs>
        <w:ind w:firstLine="720"/>
        <w:jc w:val="both"/>
      </w:pPr>
      <w:bookmarkStart w:id="7" w:name="bookmark6"/>
      <w:r>
        <w:t>в</w:t>
      </w:r>
      <w:bookmarkEnd w:id="7"/>
      <w:r>
        <w:t>)</w:t>
      </w:r>
      <w:r>
        <w:tab/>
        <w:t>внедрению механизмов защиты от сетевых атак на объекты критической инфраструктуры Донецкой Народной Республики;</w:t>
      </w:r>
    </w:p>
    <w:p w14:paraId="6DDA3A18" w14:textId="77777777" w:rsidR="00520ED0" w:rsidRDefault="00DE4504" w:rsidP="003D1E4C">
      <w:pPr>
        <w:pStyle w:val="1"/>
        <w:tabs>
          <w:tab w:val="left" w:pos="1071"/>
        </w:tabs>
        <w:ind w:firstLine="720"/>
        <w:jc w:val="both"/>
      </w:pPr>
      <w:bookmarkStart w:id="8" w:name="bookmark7"/>
      <w:r>
        <w:lastRenderedPageBreak/>
        <w:t>г</w:t>
      </w:r>
      <w:bookmarkEnd w:id="8"/>
      <w:r>
        <w:t>)</w:t>
      </w:r>
      <w:r>
        <w:tab/>
        <w:t>повышению информационной открытости деятельности органов исполнительной власти Донецкой Народной Республики, доступности соответствующей информации для граждан и субъектов хозяйствования;</w:t>
      </w:r>
    </w:p>
    <w:p w14:paraId="67F3A8D2" w14:textId="77777777" w:rsidR="00520ED0" w:rsidRDefault="00DE4504">
      <w:pPr>
        <w:pStyle w:val="1"/>
        <w:tabs>
          <w:tab w:val="left" w:pos="1089"/>
        </w:tabs>
        <w:ind w:firstLine="700"/>
        <w:jc w:val="both"/>
      </w:pPr>
      <w:bookmarkStart w:id="9" w:name="bookmark8"/>
      <w:r>
        <w:t>д</w:t>
      </w:r>
      <w:bookmarkEnd w:id="9"/>
      <w:r>
        <w:t>)</w:t>
      </w:r>
      <w:r>
        <w:tab/>
        <w:t>организации предоставления государственных услуг органами исполнительной власти Донецкой Народной Республики и работы сети многофункциональных центров в Донецкой Народной Республике;</w:t>
      </w:r>
    </w:p>
    <w:p w14:paraId="09A0751B" w14:textId="77777777" w:rsidR="00520ED0" w:rsidRDefault="00DE4504">
      <w:pPr>
        <w:pStyle w:val="1"/>
        <w:tabs>
          <w:tab w:val="left" w:pos="1094"/>
        </w:tabs>
        <w:ind w:firstLine="700"/>
        <w:jc w:val="both"/>
      </w:pPr>
      <w:bookmarkStart w:id="10" w:name="bookmark9"/>
      <w:r>
        <w:t>е</w:t>
      </w:r>
      <w:bookmarkEnd w:id="10"/>
      <w:r>
        <w:t>)</w:t>
      </w:r>
      <w:r>
        <w:tab/>
        <w:t>обеспечению перехода на предоставление государственных услуг органами исполнительной власти Донецкой Народной Республики в электронной форме;</w:t>
      </w:r>
    </w:p>
    <w:p w14:paraId="6BB9471A" w14:textId="77777777" w:rsidR="00520ED0" w:rsidRDefault="00DE4504">
      <w:pPr>
        <w:pStyle w:val="1"/>
        <w:tabs>
          <w:tab w:val="left" w:pos="1142"/>
        </w:tabs>
        <w:ind w:firstLine="700"/>
        <w:jc w:val="both"/>
      </w:pPr>
      <w:bookmarkStart w:id="11" w:name="bookmark10"/>
      <w:r>
        <w:t>ж</w:t>
      </w:r>
      <w:bookmarkEnd w:id="11"/>
      <w:r>
        <w:t>)</w:t>
      </w:r>
      <w:r>
        <w:tab/>
        <w:t>повышению эффективности бюджетных расходов на внедрение информационных технологий в деятельность органов исполнительной власти Донецкой Народной Республики;</w:t>
      </w:r>
    </w:p>
    <w:p w14:paraId="3DE9966C" w14:textId="77777777" w:rsidR="00520ED0" w:rsidRDefault="00DE4504">
      <w:pPr>
        <w:pStyle w:val="1"/>
        <w:tabs>
          <w:tab w:val="left" w:pos="1147"/>
        </w:tabs>
        <w:ind w:firstLine="700"/>
        <w:jc w:val="both"/>
      </w:pPr>
      <w:bookmarkStart w:id="12" w:name="bookmark11"/>
      <w:r>
        <w:t>з</w:t>
      </w:r>
      <w:bookmarkEnd w:id="12"/>
      <w:r>
        <w:t>)</w:t>
      </w:r>
      <w:r>
        <w:tab/>
        <w:t>повышению квалификации работников органов исполнительной власти Донецкой Народной Республики по вопросам использования информационных технологий в рамках исполнения ими должностных обязанностей;</w:t>
      </w:r>
    </w:p>
    <w:p w14:paraId="453C8F51" w14:textId="77777777" w:rsidR="00520ED0" w:rsidRDefault="00DE4504">
      <w:pPr>
        <w:pStyle w:val="1"/>
        <w:tabs>
          <w:tab w:val="left" w:pos="1151"/>
        </w:tabs>
        <w:ind w:firstLine="700"/>
        <w:jc w:val="both"/>
      </w:pPr>
      <w:bookmarkStart w:id="13" w:name="bookmark12"/>
      <w:r>
        <w:t>и</w:t>
      </w:r>
      <w:bookmarkEnd w:id="13"/>
      <w:r>
        <w:t>)</w:t>
      </w:r>
      <w:r>
        <w:tab/>
        <w:t>централизации закупок типового продукта в сфере информационных технологий в интересах органов исполнительной власти Донецкой Народной Республики;</w:t>
      </w:r>
    </w:p>
    <w:p w14:paraId="3F52E759" w14:textId="77777777" w:rsidR="00520ED0" w:rsidRDefault="00DE4504">
      <w:pPr>
        <w:pStyle w:val="1"/>
        <w:tabs>
          <w:tab w:val="left" w:pos="1147"/>
        </w:tabs>
        <w:ind w:firstLine="700"/>
        <w:jc w:val="both"/>
      </w:pPr>
      <w:bookmarkStart w:id="14" w:name="bookmark13"/>
      <w:r>
        <w:t>к</w:t>
      </w:r>
      <w:bookmarkEnd w:id="14"/>
      <w:r>
        <w:t>)</w:t>
      </w:r>
      <w:r>
        <w:tab/>
        <w:t>созданию единой системы мониторинга и контроля эффективности использования информационных технологий в деятельности органов исполнительной власти Донецкой Народной Республики;</w:t>
      </w:r>
    </w:p>
    <w:p w14:paraId="6A8221C3" w14:textId="77777777" w:rsidR="00520ED0" w:rsidRDefault="00DE4504">
      <w:pPr>
        <w:pStyle w:val="1"/>
        <w:tabs>
          <w:tab w:val="left" w:pos="1142"/>
        </w:tabs>
        <w:spacing w:after="320"/>
        <w:ind w:firstLine="700"/>
        <w:jc w:val="both"/>
      </w:pPr>
      <w:bookmarkStart w:id="15" w:name="bookmark14"/>
      <w:r>
        <w:t>л</w:t>
      </w:r>
      <w:bookmarkEnd w:id="15"/>
      <w:r>
        <w:t>)</w:t>
      </w:r>
      <w:r>
        <w:tab/>
        <w:t>замене импортного оборудования и программного обеспечения отечественными (российскими) аналогами, обеспечению технологической, производственной и информационной независимости и безопасности.</w:t>
      </w:r>
    </w:p>
    <w:p w14:paraId="1D562D47" w14:textId="77777777" w:rsidR="00520ED0" w:rsidRDefault="00DE4504">
      <w:pPr>
        <w:pStyle w:val="11"/>
        <w:keepNext/>
        <w:keepLines/>
        <w:numPr>
          <w:ilvl w:val="0"/>
          <w:numId w:val="1"/>
        </w:numPr>
        <w:tabs>
          <w:tab w:val="left" w:pos="427"/>
        </w:tabs>
      </w:pPr>
      <w:bookmarkStart w:id="16" w:name="bookmark17"/>
      <w:bookmarkStart w:id="17" w:name="bookmark15"/>
      <w:bookmarkStart w:id="18" w:name="bookmark16"/>
      <w:bookmarkStart w:id="19" w:name="bookmark18"/>
      <w:bookmarkEnd w:id="16"/>
      <w:r>
        <w:t>Состав Межведомственной комиссии</w:t>
      </w:r>
      <w:bookmarkEnd w:id="17"/>
      <w:bookmarkEnd w:id="18"/>
      <w:bookmarkEnd w:id="19"/>
    </w:p>
    <w:p w14:paraId="0E13C4CD" w14:textId="77777777" w:rsidR="00520ED0" w:rsidRDefault="00DE4504">
      <w:pPr>
        <w:pStyle w:val="1"/>
        <w:numPr>
          <w:ilvl w:val="0"/>
          <w:numId w:val="2"/>
        </w:numPr>
        <w:tabs>
          <w:tab w:val="left" w:pos="1272"/>
        </w:tabs>
        <w:ind w:firstLine="700"/>
        <w:jc w:val="both"/>
      </w:pPr>
      <w:bookmarkStart w:id="20" w:name="bookmark19"/>
      <w:bookmarkEnd w:id="20"/>
      <w:r>
        <w:t>Межведомственная комиссия состоит из Председателя Межведомственной комиссии, заместителя Председателя Межведомственной комиссии, секретаря Межведомственной комиссии и членов Межведомственной комиссии.</w:t>
      </w:r>
    </w:p>
    <w:p w14:paraId="2771B54E" w14:textId="77777777" w:rsidR="00520ED0" w:rsidRDefault="00DE4504">
      <w:pPr>
        <w:pStyle w:val="1"/>
        <w:numPr>
          <w:ilvl w:val="0"/>
          <w:numId w:val="2"/>
        </w:numPr>
        <w:tabs>
          <w:tab w:val="left" w:pos="1272"/>
        </w:tabs>
        <w:ind w:firstLine="700"/>
        <w:jc w:val="both"/>
      </w:pPr>
      <w:bookmarkStart w:id="21" w:name="bookmark20"/>
      <w:bookmarkEnd w:id="21"/>
      <w:r>
        <w:t>Персональный состав Межведомственной комиссии, а также изменения в персональный состав Межведомственной комиссии, утверждаются Председателем Межведомственной комиссии.</w:t>
      </w:r>
    </w:p>
    <w:p w14:paraId="50453A17" w14:textId="77777777" w:rsidR="00520ED0" w:rsidRDefault="00DE4504">
      <w:pPr>
        <w:pStyle w:val="1"/>
        <w:numPr>
          <w:ilvl w:val="0"/>
          <w:numId w:val="2"/>
        </w:numPr>
        <w:tabs>
          <w:tab w:val="left" w:pos="1272"/>
        </w:tabs>
        <w:ind w:firstLine="700"/>
        <w:jc w:val="both"/>
      </w:pPr>
      <w:bookmarkStart w:id="22" w:name="bookmark21"/>
      <w:bookmarkEnd w:id="22"/>
      <w:r>
        <w:t>Председатель Межведомственной комиссии:</w:t>
      </w:r>
    </w:p>
    <w:p w14:paraId="0AD26C82" w14:textId="77777777" w:rsidR="00520ED0" w:rsidRDefault="00DE4504">
      <w:pPr>
        <w:pStyle w:val="1"/>
        <w:tabs>
          <w:tab w:val="left" w:pos="1075"/>
        </w:tabs>
        <w:ind w:firstLine="700"/>
        <w:jc w:val="both"/>
      </w:pPr>
      <w:bookmarkStart w:id="23" w:name="bookmark22"/>
      <w:r>
        <w:t>а</w:t>
      </w:r>
      <w:bookmarkEnd w:id="23"/>
      <w:r>
        <w:t>)</w:t>
      </w:r>
      <w:r>
        <w:tab/>
        <w:t>организовывает работу Межведомственной комиссии, принимает решение о проведении заседания Межведомственной комиссии, определяет время, дату и место заседания;</w:t>
      </w:r>
    </w:p>
    <w:p w14:paraId="45997D22" w14:textId="77777777" w:rsidR="00520ED0" w:rsidRDefault="00DE4504">
      <w:pPr>
        <w:pStyle w:val="1"/>
        <w:tabs>
          <w:tab w:val="left" w:pos="1079"/>
        </w:tabs>
        <w:ind w:firstLine="700"/>
        <w:jc w:val="both"/>
      </w:pPr>
      <w:bookmarkStart w:id="24" w:name="bookmark23"/>
      <w:r>
        <w:t>б</w:t>
      </w:r>
      <w:bookmarkEnd w:id="24"/>
      <w:r>
        <w:t>)</w:t>
      </w:r>
      <w:r>
        <w:tab/>
        <w:t>председательствует на заседаниях Межведомственной комиссии;</w:t>
      </w:r>
    </w:p>
    <w:p w14:paraId="2C626D40" w14:textId="77777777" w:rsidR="00520ED0" w:rsidRDefault="00DE4504">
      <w:pPr>
        <w:pStyle w:val="1"/>
        <w:tabs>
          <w:tab w:val="left" w:pos="1089"/>
        </w:tabs>
        <w:ind w:firstLine="700"/>
        <w:jc w:val="both"/>
      </w:pPr>
      <w:bookmarkStart w:id="25" w:name="bookmark24"/>
      <w:r>
        <w:t>в</w:t>
      </w:r>
      <w:bookmarkEnd w:id="25"/>
      <w:r>
        <w:t>)</w:t>
      </w:r>
      <w:r>
        <w:tab/>
        <w:t>включает вопросы в проект повестки дня заседания Межведомственной комиссии;</w:t>
      </w:r>
    </w:p>
    <w:p w14:paraId="5705F94E" w14:textId="77777777" w:rsidR="00520ED0" w:rsidRDefault="00DE4504">
      <w:pPr>
        <w:pStyle w:val="1"/>
        <w:tabs>
          <w:tab w:val="left" w:pos="1089"/>
        </w:tabs>
        <w:ind w:firstLine="700"/>
        <w:jc w:val="both"/>
      </w:pPr>
      <w:bookmarkStart w:id="26" w:name="bookmark25"/>
      <w:r>
        <w:t>г</w:t>
      </w:r>
      <w:bookmarkEnd w:id="26"/>
      <w:r>
        <w:t>)</w:t>
      </w:r>
      <w:r>
        <w:tab/>
        <w:t>согласовывает проект повестки дня заседания Межведомственной комиссии;</w:t>
      </w:r>
    </w:p>
    <w:p w14:paraId="1B3A0300" w14:textId="77777777" w:rsidR="00520ED0" w:rsidRDefault="00DE4504">
      <w:pPr>
        <w:pStyle w:val="1"/>
        <w:tabs>
          <w:tab w:val="left" w:pos="1094"/>
        </w:tabs>
        <w:ind w:firstLine="700"/>
        <w:jc w:val="both"/>
      </w:pPr>
      <w:bookmarkStart w:id="27" w:name="bookmark26"/>
      <w:r>
        <w:t>д</w:t>
      </w:r>
      <w:bookmarkEnd w:id="27"/>
      <w:r>
        <w:t>)</w:t>
      </w:r>
      <w:r>
        <w:tab/>
        <w:t>при необходимости приглашает на заседание Межведомственной комиссии иных лиц, не входящих в состав Межведомственной комиссии;</w:t>
      </w:r>
    </w:p>
    <w:p w14:paraId="1B91CC6D" w14:textId="77777777" w:rsidR="00520ED0" w:rsidRDefault="00DE4504">
      <w:pPr>
        <w:pStyle w:val="1"/>
        <w:tabs>
          <w:tab w:val="left" w:pos="1083"/>
        </w:tabs>
        <w:ind w:firstLine="700"/>
        <w:jc w:val="both"/>
      </w:pPr>
      <w:bookmarkStart w:id="28" w:name="bookmark27"/>
      <w:r>
        <w:lastRenderedPageBreak/>
        <w:t>е</w:t>
      </w:r>
      <w:bookmarkEnd w:id="28"/>
      <w:r>
        <w:t>)</w:t>
      </w:r>
      <w:r>
        <w:tab/>
        <w:t>подписывает протоколы заседаний Межведомственной комиссии;</w:t>
      </w:r>
    </w:p>
    <w:p w14:paraId="435C38A1" w14:textId="77777777" w:rsidR="00520ED0" w:rsidRDefault="00DE4504" w:rsidP="003D1E4C">
      <w:pPr>
        <w:pStyle w:val="1"/>
        <w:tabs>
          <w:tab w:val="left" w:pos="1142"/>
        </w:tabs>
        <w:ind w:firstLine="700"/>
        <w:jc w:val="both"/>
      </w:pPr>
      <w:bookmarkStart w:id="29" w:name="bookmark28"/>
      <w:r>
        <w:t>ж</w:t>
      </w:r>
      <w:bookmarkEnd w:id="29"/>
      <w:r>
        <w:t>)</w:t>
      </w:r>
      <w:r>
        <w:tab/>
        <w:t>подписывает письма и запросы от имени Межведомственной комиссии.</w:t>
      </w:r>
    </w:p>
    <w:p w14:paraId="43F559D2" w14:textId="77777777" w:rsidR="00520ED0" w:rsidRDefault="00DE4504">
      <w:pPr>
        <w:pStyle w:val="1"/>
        <w:numPr>
          <w:ilvl w:val="0"/>
          <w:numId w:val="2"/>
        </w:numPr>
        <w:tabs>
          <w:tab w:val="left" w:pos="1279"/>
        </w:tabs>
        <w:ind w:firstLine="720"/>
        <w:jc w:val="both"/>
      </w:pPr>
      <w:bookmarkStart w:id="30" w:name="bookmark29"/>
      <w:bookmarkEnd w:id="30"/>
      <w:r>
        <w:t>Заместитель Председателя Межведомственной комиссии обеспечивает организационно-методическую работу и исполняет обязанности Председателя Межведомственной комиссии на время его отсутствия (временной нетрудоспособности, отпуска, командировки).</w:t>
      </w:r>
    </w:p>
    <w:p w14:paraId="3683A541" w14:textId="77777777" w:rsidR="00520ED0" w:rsidRDefault="00DE4504">
      <w:pPr>
        <w:pStyle w:val="1"/>
        <w:numPr>
          <w:ilvl w:val="0"/>
          <w:numId w:val="2"/>
        </w:numPr>
        <w:tabs>
          <w:tab w:val="left" w:pos="1279"/>
        </w:tabs>
        <w:ind w:firstLine="720"/>
        <w:jc w:val="both"/>
      </w:pPr>
      <w:bookmarkStart w:id="31" w:name="bookmark30"/>
      <w:bookmarkEnd w:id="31"/>
      <w:r>
        <w:t>Секретарь Межведомственной комиссии:</w:t>
      </w:r>
    </w:p>
    <w:p w14:paraId="736791E4" w14:textId="77777777" w:rsidR="00520ED0" w:rsidRDefault="00DE4504">
      <w:pPr>
        <w:pStyle w:val="1"/>
        <w:tabs>
          <w:tab w:val="left" w:pos="1073"/>
        </w:tabs>
        <w:ind w:firstLine="720"/>
        <w:jc w:val="both"/>
      </w:pPr>
      <w:bookmarkStart w:id="32" w:name="bookmark31"/>
      <w:r>
        <w:t>а</w:t>
      </w:r>
      <w:bookmarkEnd w:id="32"/>
      <w:r>
        <w:t>)</w:t>
      </w:r>
      <w:r>
        <w:tab/>
        <w:t>формирует проект повестки дня заседания Межведомственной комиссии;</w:t>
      </w:r>
    </w:p>
    <w:p w14:paraId="6754CB84" w14:textId="77777777" w:rsidR="00520ED0" w:rsidRDefault="00DE4504">
      <w:pPr>
        <w:pStyle w:val="1"/>
        <w:tabs>
          <w:tab w:val="left" w:pos="1097"/>
        </w:tabs>
        <w:ind w:firstLine="720"/>
        <w:jc w:val="both"/>
      </w:pPr>
      <w:bookmarkStart w:id="33" w:name="bookmark32"/>
      <w:r>
        <w:t>б</w:t>
      </w:r>
      <w:bookmarkEnd w:id="33"/>
      <w:r>
        <w:t>)</w:t>
      </w:r>
      <w:r>
        <w:tab/>
        <w:t>перед началом заседания осуществляет регистрацию членов Межведомственной комиссии и приглашенных лиц;</w:t>
      </w:r>
    </w:p>
    <w:p w14:paraId="3B10722D" w14:textId="77777777" w:rsidR="00520ED0" w:rsidRDefault="00DE4504">
      <w:pPr>
        <w:pStyle w:val="1"/>
        <w:tabs>
          <w:tab w:val="left" w:pos="1093"/>
        </w:tabs>
        <w:ind w:firstLine="720"/>
        <w:jc w:val="both"/>
      </w:pPr>
      <w:bookmarkStart w:id="34" w:name="bookmark33"/>
      <w:r>
        <w:t>в</w:t>
      </w:r>
      <w:bookmarkEnd w:id="34"/>
      <w:r>
        <w:t>)</w:t>
      </w:r>
      <w:r>
        <w:tab/>
        <w:t>принимает участие в обсуждении вопросов, включенных в повестку дня заседания Межведомственной комиссии;</w:t>
      </w:r>
    </w:p>
    <w:p w14:paraId="00F8FF6B" w14:textId="77777777" w:rsidR="00520ED0" w:rsidRDefault="00DE4504">
      <w:pPr>
        <w:pStyle w:val="1"/>
        <w:tabs>
          <w:tab w:val="left" w:pos="1093"/>
        </w:tabs>
        <w:ind w:firstLine="720"/>
        <w:jc w:val="both"/>
      </w:pPr>
      <w:bookmarkStart w:id="35" w:name="bookmark34"/>
      <w:r>
        <w:t>г</w:t>
      </w:r>
      <w:bookmarkEnd w:id="35"/>
      <w:r>
        <w:t>)</w:t>
      </w:r>
      <w:r>
        <w:tab/>
        <w:t>готовит и подписывает протокол заседания Межведомственной комиссии (его выписки).</w:t>
      </w:r>
    </w:p>
    <w:p w14:paraId="6B6B61E4" w14:textId="77777777" w:rsidR="00520ED0" w:rsidRDefault="00DE4504">
      <w:pPr>
        <w:pStyle w:val="1"/>
        <w:numPr>
          <w:ilvl w:val="0"/>
          <w:numId w:val="2"/>
        </w:numPr>
        <w:tabs>
          <w:tab w:val="left" w:pos="1279"/>
        </w:tabs>
        <w:ind w:firstLine="720"/>
        <w:jc w:val="both"/>
      </w:pPr>
      <w:bookmarkStart w:id="36" w:name="bookmark35"/>
      <w:bookmarkEnd w:id="36"/>
      <w:r>
        <w:t>Члены Межведомственной комиссии:</w:t>
      </w:r>
    </w:p>
    <w:p w14:paraId="1197669C" w14:textId="77777777" w:rsidR="00520ED0" w:rsidRDefault="00DE4504">
      <w:pPr>
        <w:pStyle w:val="1"/>
        <w:tabs>
          <w:tab w:val="left" w:pos="1078"/>
        </w:tabs>
        <w:ind w:firstLine="720"/>
        <w:jc w:val="both"/>
      </w:pPr>
      <w:bookmarkStart w:id="37" w:name="bookmark36"/>
      <w:r>
        <w:t>а</w:t>
      </w:r>
      <w:bookmarkEnd w:id="37"/>
      <w:r>
        <w:t>)</w:t>
      </w:r>
      <w:r>
        <w:tab/>
        <w:t>ходатайствуют перед Председателем Межведомственной комиссии о включении в повестку дня заседания Межведомственной комиссии отдельных вопросов, относящихся к ее компетенции;</w:t>
      </w:r>
    </w:p>
    <w:p w14:paraId="78483A92" w14:textId="77777777" w:rsidR="00520ED0" w:rsidRDefault="00DE4504">
      <w:pPr>
        <w:pStyle w:val="1"/>
        <w:tabs>
          <w:tab w:val="left" w:pos="1102"/>
        </w:tabs>
        <w:ind w:firstLine="720"/>
        <w:jc w:val="both"/>
      </w:pPr>
      <w:bookmarkStart w:id="38" w:name="bookmark37"/>
      <w:r>
        <w:t>б</w:t>
      </w:r>
      <w:bookmarkEnd w:id="38"/>
      <w:r>
        <w:t>)</w:t>
      </w:r>
      <w:r>
        <w:tab/>
      </w:r>
      <w:proofErr w:type="spellStart"/>
      <w:r>
        <w:t>ознакамливаются</w:t>
      </w:r>
      <w:proofErr w:type="spellEnd"/>
      <w:r>
        <w:t xml:space="preserve"> с материалами повестки дня заседания Межведомственной комиссии;</w:t>
      </w:r>
    </w:p>
    <w:p w14:paraId="05FBF352" w14:textId="77777777" w:rsidR="00520ED0" w:rsidRDefault="00DE4504">
      <w:pPr>
        <w:pStyle w:val="1"/>
        <w:tabs>
          <w:tab w:val="left" w:pos="1097"/>
        </w:tabs>
        <w:ind w:firstLine="720"/>
        <w:jc w:val="both"/>
      </w:pPr>
      <w:bookmarkStart w:id="39" w:name="bookmark38"/>
      <w:r>
        <w:t>в</w:t>
      </w:r>
      <w:bookmarkEnd w:id="39"/>
      <w:r>
        <w:t>)</w:t>
      </w:r>
      <w:r>
        <w:tab/>
        <w:t>лично принимают участие в заседаниях Межведомственной комиссии или направляют вместо себя не более одного уполномоченного представителя с передачей ему своего права голоса, уведомив об этом в письменном виде Председателя Межведомственной комиссии не позднее чем за один день до заседания Межведомственной комиссии;</w:t>
      </w:r>
    </w:p>
    <w:p w14:paraId="2DB24311" w14:textId="77777777" w:rsidR="00520ED0" w:rsidRDefault="00DE4504">
      <w:pPr>
        <w:pStyle w:val="1"/>
        <w:tabs>
          <w:tab w:val="left" w:pos="1093"/>
        </w:tabs>
        <w:spacing w:after="320"/>
        <w:ind w:firstLine="720"/>
        <w:jc w:val="both"/>
      </w:pPr>
      <w:bookmarkStart w:id="40" w:name="bookmark39"/>
      <w:r>
        <w:t>г</w:t>
      </w:r>
      <w:bookmarkEnd w:id="40"/>
      <w:r>
        <w:t>)</w:t>
      </w:r>
      <w:r>
        <w:tab/>
      </w:r>
      <w:proofErr w:type="spellStart"/>
      <w:r>
        <w:t>ознакамливаются</w:t>
      </w:r>
      <w:proofErr w:type="spellEnd"/>
      <w:r>
        <w:t xml:space="preserve"> с протоколами заседаний Межведомственной комиссии, вносят в них замечания.</w:t>
      </w:r>
    </w:p>
    <w:p w14:paraId="2AC3B872" w14:textId="77777777" w:rsidR="00520ED0" w:rsidRDefault="00DE4504">
      <w:pPr>
        <w:pStyle w:val="11"/>
        <w:keepNext/>
        <w:keepLines/>
        <w:numPr>
          <w:ilvl w:val="0"/>
          <w:numId w:val="1"/>
        </w:numPr>
        <w:tabs>
          <w:tab w:val="left" w:pos="541"/>
        </w:tabs>
      </w:pPr>
      <w:bookmarkStart w:id="41" w:name="bookmark42"/>
      <w:bookmarkStart w:id="42" w:name="bookmark40"/>
      <w:bookmarkStart w:id="43" w:name="bookmark41"/>
      <w:bookmarkStart w:id="44" w:name="bookmark43"/>
      <w:bookmarkEnd w:id="41"/>
      <w:r>
        <w:t>Организация работы Межведомственной комиссии</w:t>
      </w:r>
      <w:bookmarkEnd w:id="42"/>
      <w:bookmarkEnd w:id="43"/>
      <w:bookmarkEnd w:id="44"/>
    </w:p>
    <w:p w14:paraId="3187BC04" w14:textId="77777777" w:rsidR="00520ED0" w:rsidRDefault="00DE4504">
      <w:pPr>
        <w:pStyle w:val="1"/>
        <w:numPr>
          <w:ilvl w:val="0"/>
          <w:numId w:val="3"/>
        </w:numPr>
        <w:tabs>
          <w:tab w:val="left" w:pos="1279"/>
        </w:tabs>
        <w:ind w:firstLine="720"/>
        <w:jc w:val="both"/>
      </w:pPr>
      <w:bookmarkStart w:id="45" w:name="bookmark44"/>
      <w:bookmarkEnd w:id="45"/>
      <w:r>
        <w:t>Работа Межведомственной комиссии осуществляется в форме заседаний.</w:t>
      </w:r>
    </w:p>
    <w:p w14:paraId="3F44ADAF" w14:textId="77777777" w:rsidR="00520ED0" w:rsidRDefault="00DE4504">
      <w:pPr>
        <w:pStyle w:val="1"/>
        <w:numPr>
          <w:ilvl w:val="0"/>
          <w:numId w:val="3"/>
        </w:numPr>
        <w:tabs>
          <w:tab w:val="left" w:pos="1279"/>
        </w:tabs>
        <w:ind w:firstLine="720"/>
        <w:jc w:val="both"/>
      </w:pPr>
      <w:bookmarkStart w:id="46" w:name="bookmark45"/>
      <w:bookmarkEnd w:id="46"/>
      <w:r>
        <w:t>Заседания Межведомственной комиссии проводятся по мере необходимости и назначаются Председателем Межведомственной комиссии.</w:t>
      </w:r>
    </w:p>
    <w:p w14:paraId="48C7F04F" w14:textId="77777777" w:rsidR="00520ED0" w:rsidRDefault="00DE4504">
      <w:pPr>
        <w:pStyle w:val="1"/>
        <w:numPr>
          <w:ilvl w:val="0"/>
          <w:numId w:val="3"/>
        </w:numPr>
        <w:tabs>
          <w:tab w:val="left" w:pos="1279"/>
        </w:tabs>
        <w:ind w:firstLine="720"/>
        <w:jc w:val="both"/>
      </w:pPr>
      <w:bookmarkStart w:id="47" w:name="bookmark46"/>
      <w:bookmarkEnd w:id="47"/>
      <w:r>
        <w:t>Проект повестки дня заседания Межведомственной комиссии согласовывает Председатель Межведомственной комиссии.</w:t>
      </w:r>
    </w:p>
    <w:p w14:paraId="395AE975" w14:textId="77777777" w:rsidR="00520ED0" w:rsidRDefault="00DE4504">
      <w:pPr>
        <w:pStyle w:val="1"/>
        <w:numPr>
          <w:ilvl w:val="0"/>
          <w:numId w:val="3"/>
        </w:numPr>
        <w:tabs>
          <w:tab w:val="left" w:pos="1279"/>
        </w:tabs>
        <w:ind w:firstLine="720"/>
        <w:jc w:val="both"/>
      </w:pPr>
      <w:bookmarkStart w:id="48" w:name="bookmark47"/>
      <w:bookmarkEnd w:id="48"/>
      <w:r>
        <w:t>Проект повестки дня заседания Межведомственной комиссии, согласованный Председателем Межведомственной комиссии, направляется секретарем Межведомственной комиссии (посредством электронной почты) членам Межведомственной комиссии за один календарный день до дня заседания Межведомственной комиссии.</w:t>
      </w:r>
    </w:p>
    <w:p w14:paraId="6FBAF06A" w14:textId="77777777" w:rsidR="00520ED0" w:rsidRDefault="00DE4504">
      <w:pPr>
        <w:pStyle w:val="1"/>
        <w:numPr>
          <w:ilvl w:val="0"/>
          <w:numId w:val="3"/>
        </w:numPr>
        <w:tabs>
          <w:tab w:val="left" w:pos="1279"/>
        </w:tabs>
        <w:ind w:firstLine="720"/>
        <w:jc w:val="both"/>
      </w:pPr>
      <w:bookmarkStart w:id="49" w:name="bookmark48"/>
      <w:bookmarkEnd w:id="49"/>
      <w:r>
        <w:t>Заседание Межведомственной комиссии является правомочным если на нем присутствуют более половины членов Межведомственной комиссии.</w:t>
      </w:r>
    </w:p>
    <w:p w14:paraId="71A5F436" w14:textId="77777777" w:rsidR="00520ED0" w:rsidRDefault="00DE4504" w:rsidP="003D1E4C">
      <w:pPr>
        <w:pStyle w:val="1"/>
        <w:numPr>
          <w:ilvl w:val="0"/>
          <w:numId w:val="3"/>
        </w:numPr>
        <w:tabs>
          <w:tab w:val="left" w:pos="1279"/>
        </w:tabs>
        <w:ind w:firstLine="720"/>
        <w:jc w:val="both"/>
      </w:pPr>
      <w:bookmarkStart w:id="50" w:name="bookmark49"/>
      <w:bookmarkEnd w:id="50"/>
      <w:r>
        <w:t xml:space="preserve">В заседаниях Межведомственной комиссии имеют право принимать </w:t>
      </w:r>
      <w:r>
        <w:lastRenderedPageBreak/>
        <w:t>участие приглашенные Председателем Межведомственной комиссии лица.</w:t>
      </w:r>
    </w:p>
    <w:p w14:paraId="0696B66E" w14:textId="77777777" w:rsidR="00520ED0" w:rsidRDefault="00DE4504">
      <w:pPr>
        <w:pStyle w:val="1"/>
        <w:numPr>
          <w:ilvl w:val="0"/>
          <w:numId w:val="3"/>
        </w:numPr>
        <w:tabs>
          <w:tab w:val="left" w:pos="1367"/>
        </w:tabs>
        <w:ind w:firstLine="720"/>
        <w:jc w:val="both"/>
      </w:pPr>
      <w:bookmarkStart w:id="51" w:name="bookmark50"/>
      <w:bookmarkEnd w:id="51"/>
      <w:r>
        <w:t>Правом голоса на заседаниях Межведомственной комиссии наделены Председатель Межведомственной комиссии, заместитель Председателя Межведомственной комиссии и члены Межведомственной комиссии. Секретарь Межведомственной комиссии и приглашенные лица участвуют в заседании без права голоса.</w:t>
      </w:r>
    </w:p>
    <w:p w14:paraId="5EE14259" w14:textId="77777777" w:rsidR="00520ED0" w:rsidRDefault="00DE4504">
      <w:pPr>
        <w:pStyle w:val="1"/>
        <w:numPr>
          <w:ilvl w:val="0"/>
          <w:numId w:val="3"/>
        </w:numPr>
        <w:tabs>
          <w:tab w:val="left" w:pos="1367"/>
        </w:tabs>
        <w:ind w:firstLine="720"/>
        <w:jc w:val="both"/>
      </w:pPr>
      <w:bookmarkStart w:id="52" w:name="bookmark51"/>
      <w:bookmarkEnd w:id="52"/>
      <w:r>
        <w:t>Председатель Межведомственной комиссии от имени Межведомственной комиссии вправе до включения вопроса в повестку дня заседания Межведомственной комиссии направлять запросы органам исполнительной власти и организациям, и включать вопрос в повестку дня Межведомственной комиссии после получения необходимой информации.</w:t>
      </w:r>
    </w:p>
    <w:p w14:paraId="02BB2681" w14:textId="77777777" w:rsidR="00520ED0" w:rsidRDefault="00DE4504">
      <w:pPr>
        <w:pStyle w:val="1"/>
        <w:numPr>
          <w:ilvl w:val="0"/>
          <w:numId w:val="3"/>
        </w:numPr>
        <w:tabs>
          <w:tab w:val="left" w:pos="1367"/>
        </w:tabs>
        <w:ind w:firstLine="720"/>
        <w:jc w:val="both"/>
      </w:pPr>
      <w:bookmarkStart w:id="53" w:name="bookmark52"/>
      <w:bookmarkEnd w:id="53"/>
      <w:r>
        <w:t>Решения Межведомственной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Председателя Межведомственной комиссии. Члены Межведомственной комиссии обязаны голосовать «за» или «против» поставленного на голосование вопроса.</w:t>
      </w:r>
    </w:p>
    <w:p w14:paraId="60C0D1FE" w14:textId="77777777" w:rsidR="00520ED0" w:rsidRDefault="00DE4504">
      <w:pPr>
        <w:pStyle w:val="1"/>
        <w:numPr>
          <w:ilvl w:val="0"/>
          <w:numId w:val="3"/>
        </w:numPr>
        <w:tabs>
          <w:tab w:val="left" w:pos="1378"/>
        </w:tabs>
        <w:ind w:firstLine="720"/>
        <w:jc w:val="both"/>
      </w:pPr>
      <w:bookmarkStart w:id="54" w:name="bookmark53"/>
      <w:bookmarkEnd w:id="54"/>
      <w:r>
        <w:t>Проект протокола заседания Межведомственной комиссии составляется секретарем Межведомственной комиссии в течение двух календарных дней после дня заседания Межведомственной комиссии.</w:t>
      </w:r>
    </w:p>
    <w:p w14:paraId="6044E0C7" w14:textId="77777777" w:rsidR="00520ED0" w:rsidRDefault="00DE4504">
      <w:pPr>
        <w:pStyle w:val="1"/>
        <w:numPr>
          <w:ilvl w:val="0"/>
          <w:numId w:val="3"/>
        </w:numPr>
        <w:tabs>
          <w:tab w:val="left" w:pos="1383"/>
        </w:tabs>
        <w:ind w:firstLine="720"/>
        <w:jc w:val="both"/>
      </w:pPr>
      <w:bookmarkStart w:id="55" w:name="bookmark54"/>
      <w:bookmarkEnd w:id="55"/>
      <w:r>
        <w:t>Решения Межведомственной комиссии оформляются в виде протоколов, которые подписываются Председателем и секретарем Межведомственной комиссии в течение трех календарных дней со дня заседания Межведомственной комиссии и доводятся до сведения членам Межведомственной комиссии и иных заинтересованных органов в виде выписок. Выписки из протоколов заседаний Межведомственной комиссии подписываются секретарем Межведомственной комиссии.</w:t>
      </w:r>
    </w:p>
    <w:p w14:paraId="4D702B87" w14:textId="77777777" w:rsidR="00520ED0" w:rsidRDefault="00DE4504">
      <w:pPr>
        <w:pStyle w:val="1"/>
        <w:numPr>
          <w:ilvl w:val="0"/>
          <w:numId w:val="3"/>
        </w:numPr>
        <w:tabs>
          <w:tab w:val="left" w:pos="1383"/>
        </w:tabs>
        <w:ind w:firstLine="720"/>
        <w:jc w:val="both"/>
      </w:pPr>
      <w:bookmarkStart w:id="56" w:name="bookmark55"/>
      <w:bookmarkEnd w:id="56"/>
      <w:r>
        <w:t>Решения, принимаемые Межведомственной комиссией в пределах ее компетенции, являются обязательными для исполнения членами Межведомственной комиссии, а также иными органами исполнительной власти Донецкой Народной Республики, компетенцию которых затрагивает данные решения.</w:t>
      </w:r>
    </w:p>
    <w:p w14:paraId="6342AFD6" w14:textId="77777777" w:rsidR="00520ED0" w:rsidRDefault="00DE4504">
      <w:pPr>
        <w:pStyle w:val="1"/>
        <w:numPr>
          <w:ilvl w:val="0"/>
          <w:numId w:val="3"/>
        </w:numPr>
        <w:tabs>
          <w:tab w:val="left" w:pos="1383"/>
        </w:tabs>
        <w:ind w:firstLine="720"/>
        <w:jc w:val="both"/>
      </w:pPr>
      <w:bookmarkStart w:id="57" w:name="bookmark56"/>
      <w:bookmarkEnd w:id="57"/>
      <w:r>
        <w:t>В случае несогласия с принятым решением член Межведомственной комиссии имеет право изложить своё особое мнение в письменном виде, которое подлежит обязательному приобщению к протоколу заседания Межведомственной комиссии.</w:t>
      </w:r>
    </w:p>
    <w:p w14:paraId="10607DC3" w14:textId="77777777" w:rsidR="00520ED0" w:rsidRDefault="00DE4504">
      <w:pPr>
        <w:pStyle w:val="1"/>
        <w:numPr>
          <w:ilvl w:val="0"/>
          <w:numId w:val="3"/>
        </w:numPr>
        <w:tabs>
          <w:tab w:val="left" w:pos="1378"/>
        </w:tabs>
        <w:ind w:firstLine="720"/>
        <w:jc w:val="both"/>
      </w:pPr>
      <w:bookmarkStart w:id="58" w:name="bookmark57"/>
      <w:bookmarkEnd w:id="58"/>
      <w:r>
        <w:t>В протоколе заседания Межведомственной комиссии в обязательном порядке указываются:</w:t>
      </w:r>
    </w:p>
    <w:p w14:paraId="60C54D39" w14:textId="77777777" w:rsidR="00520ED0" w:rsidRDefault="00DE4504">
      <w:pPr>
        <w:pStyle w:val="1"/>
        <w:tabs>
          <w:tab w:val="left" w:pos="1062"/>
        </w:tabs>
        <w:ind w:firstLine="720"/>
        <w:jc w:val="both"/>
      </w:pPr>
      <w:bookmarkStart w:id="59" w:name="bookmark58"/>
      <w:r>
        <w:t>а</w:t>
      </w:r>
      <w:bookmarkEnd w:id="59"/>
      <w:r>
        <w:t>)</w:t>
      </w:r>
      <w:r>
        <w:tab/>
        <w:t>дата, место и время проведения заседания;</w:t>
      </w:r>
    </w:p>
    <w:p w14:paraId="0C306411" w14:textId="77777777" w:rsidR="00520ED0" w:rsidRDefault="00DE4504">
      <w:pPr>
        <w:pStyle w:val="1"/>
        <w:tabs>
          <w:tab w:val="left" w:pos="1081"/>
        </w:tabs>
        <w:ind w:firstLine="720"/>
        <w:jc w:val="both"/>
      </w:pPr>
      <w:bookmarkStart w:id="60" w:name="bookmark59"/>
      <w:r>
        <w:t>б</w:t>
      </w:r>
      <w:bookmarkEnd w:id="60"/>
      <w:r>
        <w:t>)</w:t>
      </w:r>
      <w:r>
        <w:tab/>
        <w:t>лица, присутствующие на заседании;</w:t>
      </w:r>
    </w:p>
    <w:p w14:paraId="377BAA48" w14:textId="77777777" w:rsidR="00520ED0" w:rsidRDefault="00DE4504">
      <w:pPr>
        <w:pStyle w:val="1"/>
        <w:tabs>
          <w:tab w:val="left" w:pos="1081"/>
        </w:tabs>
        <w:ind w:firstLine="720"/>
        <w:jc w:val="both"/>
      </w:pPr>
      <w:bookmarkStart w:id="61" w:name="bookmark60"/>
      <w:r>
        <w:t>в</w:t>
      </w:r>
      <w:bookmarkEnd w:id="61"/>
      <w:r>
        <w:t>)</w:t>
      </w:r>
      <w:r>
        <w:tab/>
        <w:t>повестка дня заседания;</w:t>
      </w:r>
    </w:p>
    <w:p w14:paraId="1E405849" w14:textId="77777777" w:rsidR="00520ED0" w:rsidRDefault="00DE4504">
      <w:pPr>
        <w:pStyle w:val="1"/>
        <w:tabs>
          <w:tab w:val="left" w:pos="1071"/>
        </w:tabs>
        <w:ind w:firstLine="720"/>
        <w:jc w:val="both"/>
      </w:pPr>
      <w:bookmarkStart w:id="62" w:name="bookmark61"/>
      <w:r>
        <w:t>г</w:t>
      </w:r>
      <w:bookmarkEnd w:id="62"/>
      <w:r>
        <w:t>)</w:t>
      </w:r>
      <w:r>
        <w:tab/>
        <w:t>вопросы, поставленные на голосование, и результаты голосования по ним;</w:t>
      </w:r>
    </w:p>
    <w:p w14:paraId="2587B0FA" w14:textId="77777777" w:rsidR="00520ED0" w:rsidRDefault="00DE4504">
      <w:pPr>
        <w:pStyle w:val="1"/>
        <w:tabs>
          <w:tab w:val="left" w:pos="1086"/>
        </w:tabs>
        <w:ind w:firstLine="720"/>
        <w:jc w:val="both"/>
      </w:pPr>
      <w:bookmarkStart w:id="63" w:name="bookmark62"/>
      <w:r>
        <w:t>д</w:t>
      </w:r>
      <w:bookmarkEnd w:id="63"/>
      <w:r>
        <w:t>)</w:t>
      </w:r>
      <w:r>
        <w:tab/>
        <w:t>принятые решения.</w:t>
      </w:r>
    </w:p>
    <w:p w14:paraId="619D3318" w14:textId="77777777" w:rsidR="00520ED0" w:rsidRDefault="00DE4504">
      <w:pPr>
        <w:pStyle w:val="1"/>
        <w:numPr>
          <w:ilvl w:val="0"/>
          <w:numId w:val="3"/>
        </w:numPr>
        <w:tabs>
          <w:tab w:val="left" w:pos="1430"/>
        </w:tabs>
        <w:spacing w:after="320"/>
        <w:ind w:firstLine="700"/>
        <w:jc w:val="both"/>
      </w:pPr>
      <w:bookmarkStart w:id="64" w:name="bookmark63"/>
      <w:bookmarkEnd w:id="64"/>
      <w:r>
        <w:t xml:space="preserve">Организационно-методическое, а также материально-техническое </w:t>
      </w:r>
      <w:r>
        <w:lastRenderedPageBreak/>
        <w:t>обеспечение деятельности Межведомственной комиссии осуществляет Министерство связи Донецкой Народной Республики.</w:t>
      </w:r>
    </w:p>
    <w:p w14:paraId="66BE1C79" w14:textId="77777777" w:rsidR="00520ED0" w:rsidRDefault="00DE4504">
      <w:pPr>
        <w:pStyle w:val="11"/>
        <w:keepNext/>
        <w:keepLines/>
        <w:numPr>
          <w:ilvl w:val="0"/>
          <w:numId w:val="1"/>
        </w:numPr>
        <w:tabs>
          <w:tab w:val="left" w:pos="500"/>
        </w:tabs>
      </w:pPr>
      <w:bookmarkStart w:id="65" w:name="bookmark66"/>
      <w:bookmarkStart w:id="66" w:name="bookmark64"/>
      <w:bookmarkStart w:id="67" w:name="bookmark65"/>
      <w:bookmarkStart w:id="68" w:name="bookmark67"/>
      <w:bookmarkEnd w:id="65"/>
      <w:r>
        <w:t>Полномочия Межведомственной комиссии</w:t>
      </w:r>
      <w:bookmarkEnd w:id="66"/>
      <w:bookmarkEnd w:id="67"/>
      <w:bookmarkEnd w:id="68"/>
    </w:p>
    <w:p w14:paraId="2657385B" w14:textId="77777777" w:rsidR="00520ED0" w:rsidRDefault="00DE4504">
      <w:pPr>
        <w:pStyle w:val="1"/>
        <w:numPr>
          <w:ilvl w:val="0"/>
          <w:numId w:val="4"/>
        </w:numPr>
        <w:tabs>
          <w:tab w:val="left" w:pos="1272"/>
        </w:tabs>
        <w:ind w:firstLine="700"/>
        <w:jc w:val="both"/>
      </w:pPr>
      <w:bookmarkStart w:id="69" w:name="bookmark68"/>
      <w:bookmarkEnd w:id="69"/>
      <w:r>
        <w:t>В соответствии с возложенными задачами Межведомственная комиссия реализует следующие полномочия:</w:t>
      </w:r>
    </w:p>
    <w:p w14:paraId="7B19D232" w14:textId="77777777" w:rsidR="00520ED0" w:rsidRDefault="00DE4504">
      <w:pPr>
        <w:pStyle w:val="1"/>
        <w:tabs>
          <w:tab w:val="left" w:pos="1062"/>
        </w:tabs>
        <w:ind w:firstLine="700"/>
        <w:jc w:val="both"/>
      </w:pPr>
      <w:bookmarkStart w:id="70" w:name="bookmark69"/>
      <w:r>
        <w:t>а</w:t>
      </w:r>
      <w:bookmarkEnd w:id="70"/>
      <w:r>
        <w:t>)</w:t>
      </w:r>
      <w:r>
        <w:tab/>
        <w:t>осуществляет мониторинг использования информационных технологий органами исполнительной власти Донецкой Народной Республики, в рамках которого обеспечивается контроль эффективности осуществления ими мероприятий по информатизации, проводит анализ текущих и перспективных потребностей данных органов в информационных технологиях, формирует предложения о реализации государственной политики по вопросам цифрового развития;</w:t>
      </w:r>
    </w:p>
    <w:p w14:paraId="28A1D1E2" w14:textId="77777777" w:rsidR="00520ED0" w:rsidRDefault="00DE4504">
      <w:pPr>
        <w:pStyle w:val="1"/>
        <w:tabs>
          <w:tab w:val="left" w:pos="1081"/>
        </w:tabs>
        <w:ind w:firstLine="700"/>
        <w:jc w:val="both"/>
      </w:pPr>
      <w:bookmarkStart w:id="71" w:name="bookmark70"/>
      <w:r>
        <w:t>б</w:t>
      </w:r>
      <w:bookmarkEnd w:id="71"/>
      <w:r>
        <w:t>)</w:t>
      </w:r>
      <w:r>
        <w:tab/>
        <w:t>формирует предложения по повышению информационной открытости деятельности органов исполнительной власти Донецкой Народной Республики, доступности соответствующей информации для граждан и субъектов хозяйствования;</w:t>
      </w:r>
    </w:p>
    <w:p w14:paraId="62FD9F8B" w14:textId="77777777" w:rsidR="00520ED0" w:rsidRDefault="00DE4504">
      <w:pPr>
        <w:pStyle w:val="1"/>
        <w:tabs>
          <w:tab w:val="left" w:pos="1076"/>
        </w:tabs>
        <w:ind w:firstLine="700"/>
        <w:jc w:val="both"/>
      </w:pPr>
      <w:bookmarkStart w:id="72" w:name="bookmark71"/>
      <w:r>
        <w:t>в</w:t>
      </w:r>
      <w:bookmarkEnd w:id="72"/>
      <w:r>
        <w:t>)</w:t>
      </w:r>
      <w:r>
        <w:tab/>
        <w:t>разрабатывает предложения по организации предоставления государственных услуг органами исполнительной власти Донецкой Народной Республики и работы сети многофункциональных центров в Донецкой Народной Республике;</w:t>
      </w:r>
    </w:p>
    <w:p w14:paraId="36DE8C89" w14:textId="77777777" w:rsidR="00520ED0" w:rsidRDefault="00DE4504">
      <w:pPr>
        <w:pStyle w:val="1"/>
        <w:tabs>
          <w:tab w:val="left" w:pos="1076"/>
        </w:tabs>
        <w:ind w:firstLine="700"/>
        <w:jc w:val="both"/>
      </w:pPr>
      <w:bookmarkStart w:id="73" w:name="bookmark72"/>
      <w:r>
        <w:t>г</w:t>
      </w:r>
      <w:bookmarkEnd w:id="73"/>
      <w:r>
        <w:t>)</w:t>
      </w:r>
      <w:r>
        <w:tab/>
        <w:t>формирует предложения по переходу на предоставление государственных услуг органами исполнительной власти Донецкой Народной Республики в электронной форме;</w:t>
      </w:r>
    </w:p>
    <w:p w14:paraId="12C232F9" w14:textId="77777777" w:rsidR="00520ED0" w:rsidRDefault="00DE4504">
      <w:pPr>
        <w:pStyle w:val="1"/>
        <w:tabs>
          <w:tab w:val="left" w:pos="1076"/>
        </w:tabs>
        <w:ind w:firstLine="700"/>
        <w:jc w:val="both"/>
      </w:pPr>
      <w:bookmarkStart w:id="74" w:name="bookmark73"/>
      <w:r>
        <w:t>д</w:t>
      </w:r>
      <w:bookmarkEnd w:id="74"/>
      <w:r>
        <w:t>)</w:t>
      </w:r>
      <w:r>
        <w:tab/>
        <w:t>формирует предложения об организации повышения квалификации работников органов исполнительной власти Донецкой Народной Республики по вопросам использования информационных технологий в рамках исполнения ими должностных обязанностей;</w:t>
      </w:r>
    </w:p>
    <w:p w14:paraId="3F2A2DB5" w14:textId="77777777" w:rsidR="00520ED0" w:rsidRDefault="00DE4504">
      <w:pPr>
        <w:pStyle w:val="1"/>
        <w:tabs>
          <w:tab w:val="left" w:pos="1076"/>
        </w:tabs>
        <w:ind w:firstLine="700"/>
        <w:jc w:val="both"/>
      </w:pPr>
      <w:bookmarkStart w:id="75" w:name="bookmark74"/>
      <w:r>
        <w:t>е</w:t>
      </w:r>
      <w:bookmarkEnd w:id="75"/>
      <w:r>
        <w:t>)</w:t>
      </w:r>
      <w:r>
        <w:tab/>
        <w:t>предоставляет на рассмотрение Председателю Правительства Донецкой Народной Республики предложения, приведенные в подпунктах «а», «б», «в», «г» и «д» настоящего пункта;</w:t>
      </w:r>
    </w:p>
    <w:p w14:paraId="50285BE2" w14:textId="77777777" w:rsidR="00520ED0" w:rsidRDefault="00DE4504">
      <w:pPr>
        <w:pStyle w:val="1"/>
        <w:tabs>
          <w:tab w:val="left" w:pos="1119"/>
        </w:tabs>
        <w:ind w:firstLine="700"/>
        <w:jc w:val="both"/>
      </w:pPr>
      <w:bookmarkStart w:id="76" w:name="bookmark75"/>
      <w:r>
        <w:t>ж</w:t>
      </w:r>
      <w:bookmarkEnd w:id="76"/>
      <w:r>
        <w:t>)</w:t>
      </w:r>
      <w:r>
        <w:tab/>
        <w:t>обеспечивает организацию и планирование комиссионных проверок состояния критической инфраструктуры Донецкой Народной Республики;</w:t>
      </w:r>
    </w:p>
    <w:p w14:paraId="3759D2DB" w14:textId="77777777" w:rsidR="00520ED0" w:rsidRDefault="00DE4504">
      <w:pPr>
        <w:pStyle w:val="1"/>
        <w:tabs>
          <w:tab w:val="left" w:pos="1129"/>
        </w:tabs>
        <w:ind w:firstLine="700"/>
        <w:jc w:val="both"/>
      </w:pPr>
      <w:bookmarkStart w:id="77" w:name="bookmark76"/>
      <w:r>
        <w:t>з</w:t>
      </w:r>
      <w:bookmarkEnd w:id="77"/>
      <w:r>
        <w:t>)</w:t>
      </w:r>
      <w:r>
        <w:tab/>
        <w:t>осуществляет координацию органов исполнительной власти Донецкой Народной Республики по вопросам создания и развития государственных информационных систем, развития межведомственного информационного взаимодействия, а также обеспечения интеграции государственных и иных информационных систем;</w:t>
      </w:r>
    </w:p>
    <w:p w14:paraId="6E8B574A" w14:textId="77777777" w:rsidR="005C1981" w:rsidRDefault="00DE4504" w:rsidP="005C1981">
      <w:pPr>
        <w:pStyle w:val="1"/>
        <w:tabs>
          <w:tab w:val="left" w:pos="1129"/>
        </w:tabs>
        <w:ind w:firstLine="700"/>
        <w:jc w:val="both"/>
      </w:pPr>
      <w:bookmarkStart w:id="78" w:name="bookmark77"/>
      <w:r>
        <w:t>и</w:t>
      </w:r>
      <w:bookmarkEnd w:id="78"/>
      <w:r>
        <w:t>)</w:t>
      </w:r>
      <w:r>
        <w:tab/>
        <w:t>предоставляет рекомендации органам исполнительной власти Донецкой Народной Республики по вопросам формирования и использования инфраструктуры, которая обеспечивает информационно-технологическое взаимодействие информационных систем, используемых для предоставления государственных услуг и исполнения государственных функций</w:t>
      </w:r>
      <w:r w:rsidR="005C1981">
        <w:t>;</w:t>
      </w:r>
    </w:p>
    <w:p w14:paraId="72A0AA24" w14:textId="4F351202" w:rsidR="005C1981" w:rsidRPr="005C1981" w:rsidRDefault="005C1981" w:rsidP="005C1981">
      <w:pPr>
        <w:jc w:val="both"/>
        <w:rPr>
          <w:rFonts w:ascii="Times New Roman" w:hAnsi="Times New Roman" w:cs="Times New Roman"/>
          <w:sz w:val="28"/>
          <w:szCs w:val="28"/>
        </w:rPr>
      </w:pPr>
      <w:r>
        <w:rPr>
          <w:rFonts w:ascii="Times New Roman" w:hAnsi="Times New Roman" w:cs="Times New Roman"/>
          <w:sz w:val="28"/>
          <w:szCs w:val="28"/>
        </w:rPr>
        <w:t xml:space="preserve">          </w:t>
      </w:r>
      <w:r w:rsidRPr="005C1981">
        <w:rPr>
          <w:rFonts w:ascii="Times New Roman" w:hAnsi="Times New Roman" w:cs="Times New Roman"/>
          <w:sz w:val="28"/>
          <w:szCs w:val="28"/>
        </w:rPr>
        <w:t xml:space="preserve">к) определяет способ ведения кадровой работы в отношении </w:t>
      </w:r>
      <w:r w:rsidRPr="005C1981">
        <w:rPr>
          <w:rFonts w:ascii="Times New Roman" w:hAnsi="Times New Roman" w:cs="Times New Roman"/>
          <w:sz w:val="28"/>
          <w:szCs w:val="28"/>
        </w:rPr>
        <w:lastRenderedPageBreak/>
        <w:t xml:space="preserve">государственных гражданских служащих Донецкой Народной Республики </w:t>
      </w:r>
      <w:r>
        <w:rPr>
          <w:rFonts w:ascii="Times New Roman" w:hAnsi="Times New Roman" w:cs="Times New Roman"/>
          <w:sz w:val="28"/>
          <w:szCs w:val="28"/>
        </w:rPr>
        <w:t xml:space="preserve"> </w:t>
      </w:r>
      <w:r w:rsidRPr="005C1981">
        <w:rPr>
          <w:rFonts w:ascii="Times New Roman" w:hAnsi="Times New Roman" w:cs="Times New Roman"/>
          <w:sz w:val="28"/>
          <w:szCs w:val="28"/>
        </w:rPr>
        <w:t>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ЕИСУКС);</w:t>
      </w:r>
    </w:p>
    <w:p w14:paraId="0BFAE8AA" w14:textId="1CBFA5AF" w:rsidR="00520ED0" w:rsidRDefault="005C1981" w:rsidP="003D1E4C">
      <w:pPr>
        <w:pStyle w:val="1"/>
        <w:tabs>
          <w:tab w:val="left" w:pos="1129"/>
        </w:tabs>
        <w:ind w:firstLine="700"/>
        <w:jc w:val="both"/>
      </w:pPr>
      <w:r w:rsidRPr="005C1981">
        <w:t>л)</w:t>
      </w:r>
      <w:r w:rsidRPr="005C1981">
        <w:tab/>
        <w:t>определяет способ подключения подразделений государственных органов Донецкой Народной Республики по вопросам государственной службы и кадров к ЕИСУКС</w:t>
      </w:r>
      <w:r w:rsidR="00DE4504">
        <w:t>.</w:t>
      </w:r>
    </w:p>
    <w:p w14:paraId="33BC71B7" w14:textId="77777777" w:rsidR="00520ED0" w:rsidRDefault="00DE4504">
      <w:pPr>
        <w:pStyle w:val="1"/>
        <w:numPr>
          <w:ilvl w:val="0"/>
          <w:numId w:val="4"/>
        </w:numPr>
        <w:tabs>
          <w:tab w:val="left" w:pos="1286"/>
        </w:tabs>
        <w:ind w:firstLine="720"/>
        <w:jc w:val="both"/>
      </w:pPr>
      <w:bookmarkStart w:id="79" w:name="bookmark78"/>
      <w:bookmarkEnd w:id="79"/>
      <w:r>
        <w:t>Межведомственная комиссия имеет право:</w:t>
      </w:r>
    </w:p>
    <w:p w14:paraId="5F63368C" w14:textId="77777777" w:rsidR="00520ED0" w:rsidRDefault="00DE4504">
      <w:pPr>
        <w:pStyle w:val="1"/>
        <w:tabs>
          <w:tab w:val="left" w:pos="1057"/>
        </w:tabs>
        <w:ind w:firstLine="720"/>
        <w:jc w:val="both"/>
      </w:pPr>
      <w:bookmarkStart w:id="80" w:name="bookmark79"/>
      <w:r>
        <w:t>а</w:t>
      </w:r>
      <w:bookmarkEnd w:id="80"/>
      <w:r>
        <w:t>)</w:t>
      </w:r>
      <w:r>
        <w:tab/>
        <w:t>запрашивать информацию у органов исполнительной власти Донецкой Народной Республики и организаций по вопросам, отнесенным к их компетенции;</w:t>
      </w:r>
    </w:p>
    <w:p w14:paraId="7C30741E" w14:textId="77777777" w:rsidR="00520ED0" w:rsidRDefault="00DE4504">
      <w:pPr>
        <w:pStyle w:val="1"/>
        <w:tabs>
          <w:tab w:val="left" w:pos="1066"/>
        </w:tabs>
        <w:ind w:firstLine="720"/>
        <w:jc w:val="both"/>
      </w:pPr>
      <w:bookmarkStart w:id="81" w:name="bookmark80"/>
      <w:r>
        <w:t>б</w:t>
      </w:r>
      <w:bookmarkEnd w:id="81"/>
      <w:r>
        <w:t>)</w:t>
      </w:r>
      <w:r>
        <w:tab/>
        <w:t>привлекать к работе Межведомственной комиссии представителей органов исполнительной власти Донецкой Народной Республики, научных, общественных и иных организаций;</w:t>
      </w:r>
    </w:p>
    <w:p w14:paraId="69E3AC3D" w14:textId="77777777" w:rsidR="00520ED0" w:rsidRDefault="00DE4504">
      <w:pPr>
        <w:pStyle w:val="1"/>
        <w:tabs>
          <w:tab w:val="left" w:pos="1076"/>
        </w:tabs>
        <w:ind w:firstLine="720"/>
        <w:jc w:val="both"/>
      </w:pPr>
      <w:bookmarkStart w:id="82" w:name="bookmark81"/>
      <w:r>
        <w:t>в</w:t>
      </w:r>
      <w:bookmarkEnd w:id="82"/>
      <w:r>
        <w:t>)</w:t>
      </w:r>
      <w:r>
        <w:tab/>
        <w:t>подготавливать методические рекомендации по составу, структуре и содержанию организационного, методического, технического, математического, программного, информационного, документационного, правового и иных видов обеспечения государственных информационных систем на соответствующих этапах их создания, развития, ввода в эксплуатацию, эксплуатации и вывода из эксплуатации, а также дальнейшего хранения содержащейся в их базах данных информации.</w:t>
      </w:r>
    </w:p>
    <w:sectPr w:rsidR="00520ED0">
      <w:headerReference w:type="default" r:id="rId8"/>
      <w:headerReference w:type="first" r:id="rId9"/>
      <w:pgSz w:w="11900" w:h="16840"/>
      <w:pgMar w:top="1129" w:right="518" w:bottom="1196" w:left="166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47D50" w14:textId="77777777" w:rsidR="00EC4367" w:rsidRDefault="00EC4367">
      <w:r>
        <w:separator/>
      </w:r>
    </w:p>
  </w:endnote>
  <w:endnote w:type="continuationSeparator" w:id="0">
    <w:p w14:paraId="453003D9" w14:textId="77777777" w:rsidR="00EC4367" w:rsidRDefault="00EC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708F8" w14:textId="77777777" w:rsidR="00EC4367" w:rsidRDefault="00EC4367"/>
  </w:footnote>
  <w:footnote w:type="continuationSeparator" w:id="0">
    <w:p w14:paraId="4E6B8A2D" w14:textId="77777777" w:rsidR="00EC4367" w:rsidRDefault="00EC4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6C02B" w14:textId="77777777" w:rsidR="00520ED0" w:rsidRDefault="00DE4504">
    <w:pPr>
      <w:spacing w:line="1" w:lineRule="exact"/>
    </w:pPr>
    <w:r>
      <w:rPr>
        <w:noProof/>
      </w:rPr>
      <mc:AlternateContent>
        <mc:Choice Requires="wps">
          <w:drawing>
            <wp:anchor distT="0" distB="0" distL="0" distR="0" simplePos="0" relativeHeight="62914690" behindDoc="1" locked="0" layoutInCell="1" allowOverlap="1" wp14:anchorId="25146597" wp14:editId="1A8A076F">
              <wp:simplePos x="0" y="0"/>
              <wp:positionH relativeFrom="page">
                <wp:posOffset>4101465</wp:posOffset>
              </wp:positionH>
              <wp:positionV relativeFrom="page">
                <wp:posOffset>488315</wp:posOffset>
              </wp:positionV>
              <wp:extent cx="6731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3C4BDBEE" w14:textId="77777777" w:rsidR="00520ED0" w:rsidRDefault="00DE4504">
                          <w:pPr>
                            <w:pStyle w:val="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25146597" id="_x0000_t202" coordsize="21600,21600" o:spt="202" path="m,l,21600r21600,l21600,xe">
              <v:stroke joinstyle="miter"/>
              <v:path gradientshapeok="t" o:connecttype="rect"/>
            </v:shapetype>
            <v:shape id="Shape 1" o:spid="_x0000_s1026" type="#_x0000_t202" style="position:absolute;margin-left:322.95pt;margin-top:38.4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" filled="f" stroked="f">
              <v:textbox style="mso-fit-shape-to-text:t" inset="0,0,0,0">
                <w:txbxContent>
                  <w:p w14:paraId="3C4BDBEE" w14:textId="77777777" w:rsidR="00520ED0" w:rsidRDefault="00DE4504">
                    <w:pPr>
                      <w:pStyle w:val="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4DD3" w14:textId="77777777" w:rsidR="00520ED0" w:rsidRDefault="00520ED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D6C59"/>
    <w:multiLevelType w:val="multilevel"/>
    <w:tmpl w:val="E14A8A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5F4110"/>
    <w:multiLevelType w:val="multilevel"/>
    <w:tmpl w:val="83AA82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4D3FE1"/>
    <w:multiLevelType w:val="multilevel"/>
    <w:tmpl w:val="9AB6B3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2C1CB3"/>
    <w:multiLevelType w:val="multilevel"/>
    <w:tmpl w:val="5E50BC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D0"/>
    <w:rsid w:val="00004A1B"/>
    <w:rsid w:val="0021352F"/>
    <w:rsid w:val="003D1E4C"/>
    <w:rsid w:val="00520ED0"/>
    <w:rsid w:val="005C1981"/>
    <w:rsid w:val="00DE4504"/>
    <w:rsid w:val="00EC4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A226"/>
  <w15:docId w15:val="{1780A6CF-0F9D-40BC-9317-C2D3D611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styleId="a4">
    <w:name w:val="footer"/>
    <w:basedOn w:val="a"/>
    <w:link w:val="a5"/>
    <w:uiPriority w:val="99"/>
    <w:unhideWhenUsed/>
    <w:rsid w:val="005C1981"/>
    <w:pPr>
      <w:widowControl/>
      <w:tabs>
        <w:tab w:val="center" w:pos="4677"/>
        <w:tab w:val="right" w:pos="9355"/>
      </w:tabs>
      <w:ind w:firstLine="709"/>
      <w:jc w:val="both"/>
    </w:pPr>
    <w:rPr>
      <w:rFonts w:ascii="Times New Roman" w:eastAsiaTheme="minorHAnsi" w:hAnsi="Times New Roman" w:cstheme="minorBidi"/>
      <w:color w:val="auto"/>
      <w:sz w:val="28"/>
      <w:szCs w:val="22"/>
      <w:lang w:eastAsia="en-US" w:bidi="ar-SA"/>
    </w:rPr>
  </w:style>
  <w:style w:type="character" w:customStyle="1" w:styleId="a5">
    <w:name w:val="Нижний колонтитул Знак"/>
    <w:basedOn w:val="a0"/>
    <w:link w:val="a4"/>
    <w:uiPriority w:val="99"/>
    <w:rsid w:val="005C1981"/>
    <w:rPr>
      <w:rFonts w:ascii="Times New Roman" w:eastAsiaTheme="minorHAnsi" w:hAnsi="Times New Roman" w:cstheme="minorBidi"/>
      <w:sz w:val="28"/>
      <w:szCs w:val="22"/>
      <w:lang w:eastAsia="en-US" w:bidi="ar-SA"/>
    </w:rPr>
  </w:style>
  <w:style w:type="character" w:styleId="a6">
    <w:name w:val="Hyperlink"/>
    <w:basedOn w:val="a0"/>
    <w:uiPriority w:val="99"/>
    <w:unhideWhenUsed/>
    <w:rsid w:val="0021352F"/>
    <w:rPr>
      <w:color w:val="0563C1" w:themeColor="hyperlink"/>
      <w:u w:val="single"/>
    </w:rPr>
  </w:style>
  <w:style w:type="character" w:styleId="a7">
    <w:name w:val="Unresolved Mention"/>
    <w:basedOn w:val="a0"/>
    <w:uiPriority w:val="99"/>
    <w:semiHidden/>
    <w:unhideWhenUsed/>
    <w:rsid w:val="0021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isnpa-dnr.ru/npa/0030-101-r4-20231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1915</Words>
  <Characters>10921</Characters>
  <Application>Microsoft Office Word</Application>
  <DocSecurity>0</DocSecurity>
  <Lines>91</Lines>
  <Paragraphs>25</Paragraphs>
  <ScaleCrop>false</ScaleCrop>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Елена Александровна</dc:creator>
  <cp:keywords/>
  <cp:lastModifiedBy>Грищенко Инна Викторовна</cp:lastModifiedBy>
  <cp:revision>4</cp:revision>
  <dcterms:created xsi:type="dcterms:W3CDTF">2023-12-07T08:24:00Z</dcterms:created>
  <dcterms:modified xsi:type="dcterms:W3CDTF">2023-12-07T12:01:00Z</dcterms:modified>
</cp:coreProperties>
</file>