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D73E" w14:textId="77777777" w:rsidR="009149DE" w:rsidRPr="00E76DD2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proofErr w:type="gramStart"/>
      <w:r w:rsidRPr="00E76DD2">
        <w:rPr>
          <w:rFonts w:eastAsia="Calibri"/>
          <w:sz w:val="24"/>
          <w:szCs w:val="24"/>
          <w:lang w:eastAsia="en-US"/>
        </w:rPr>
        <w:t>Приложение  3</w:t>
      </w:r>
      <w:proofErr w:type="gramEnd"/>
    </w:p>
    <w:p w14:paraId="119320DF" w14:textId="77777777" w:rsidR="009149DE" w:rsidRPr="00E76DD2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>к Решению</w:t>
      </w:r>
    </w:p>
    <w:p w14:paraId="5460B917" w14:textId="77777777" w:rsidR="009149DE" w:rsidRPr="00E76DD2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>Харцызского городского совета</w:t>
      </w:r>
    </w:p>
    <w:p w14:paraId="1DA99C65" w14:textId="77777777" w:rsidR="009149DE" w:rsidRPr="00E76DD2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>Донецкой Народной Республики</w:t>
      </w:r>
    </w:p>
    <w:p w14:paraId="0EE19DE5" w14:textId="77777777" w:rsidR="009149DE" w:rsidRPr="00E76DD2" w:rsidRDefault="009149DE" w:rsidP="009149DE">
      <w:pPr>
        <w:spacing w:line="240" w:lineRule="auto"/>
        <w:ind w:left="5387" w:firstLine="0"/>
        <w:jc w:val="left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>от 04.07.2024 № 32/1</w:t>
      </w:r>
    </w:p>
    <w:p w14:paraId="00730D72" w14:textId="77777777" w:rsidR="009149DE" w:rsidRPr="00E76DD2" w:rsidRDefault="009149DE" w:rsidP="009149DE">
      <w:pPr>
        <w:spacing w:line="240" w:lineRule="auto"/>
        <w:ind w:left="5387" w:firstLine="0"/>
        <w:jc w:val="center"/>
        <w:rPr>
          <w:rFonts w:eastAsia="Calibri"/>
          <w:sz w:val="24"/>
          <w:szCs w:val="24"/>
          <w:lang w:eastAsia="en-US"/>
        </w:rPr>
      </w:pPr>
    </w:p>
    <w:p w14:paraId="58D78B2E" w14:textId="77777777" w:rsidR="009149DE" w:rsidRPr="00E76DD2" w:rsidRDefault="009149DE" w:rsidP="009149DE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>Ведомственная структура расходов бюджета муниципального образования городской округ Харцызск Донецкой Народной Республики на 2024 год</w:t>
      </w:r>
    </w:p>
    <w:p w14:paraId="60034977" w14:textId="77777777" w:rsidR="009149DE" w:rsidRPr="00E76DD2" w:rsidRDefault="009149DE" w:rsidP="00DD2363">
      <w:pPr>
        <w:spacing w:line="24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E76DD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2"/>
        <w:gridCol w:w="993"/>
        <w:gridCol w:w="567"/>
        <w:gridCol w:w="567"/>
        <w:gridCol w:w="1417"/>
        <w:gridCol w:w="568"/>
        <w:gridCol w:w="1701"/>
        <w:gridCol w:w="1559"/>
      </w:tblGrid>
      <w:tr w:rsidR="009149DE" w:rsidRPr="00E76DD2" w14:paraId="20502C03" w14:textId="77777777" w:rsidTr="009149DE">
        <w:trPr>
          <w:trHeight w:val="6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2CB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Наименование главного распорядителя средств бюджета муниципального образования городской округ Харцызск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8A69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E76DD2">
              <w:rPr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E76DD2">
              <w:rPr>
                <w:sz w:val="24"/>
                <w:szCs w:val="24"/>
              </w:rPr>
              <w:t xml:space="preserve"> средств бюджета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0F2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C61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Сумма</w:t>
            </w:r>
          </w:p>
        </w:tc>
      </w:tr>
      <w:tr w:rsidR="009149DE" w:rsidRPr="00E76DD2" w14:paraId="74226DF4" w14:textId="77777777" w:rsidTr="009149DE">
        <w:trPr>
          <w:cantSplit/>
          <w:trHeight w:val="224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4076" w14:textId="77777777" w:rsidR="009149DE" w:rsidRPr="00E76DD2" w:rsidRDefault="009149DE" w:rsidP="00914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D2BF" w14:textId="77777777" w:rsidR="009149DE" w:rsidRPr="00E76DD2" w:rsidRDefault="009149DE" w:rsidP="009149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7FC819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C3157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D8A4F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FB8EB" w14:textId="77777777" w:rsidR="009149DE" w:rsidRPr="00E76DD2" w:rsidRDefault="009149DE" w:rsidP="009149DE">
            <w:pPr>
              <w:spacing w:line="240" w:lineRule="auto"/>
              <w:ind w:left="113" w:right="-107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5C46B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D2DC9" w14:textId="77777777" w:rsidR="009149DE" w:rsidRPr="00E76DD2" w:rsidRDefault="009149DE" w:rsidP="009149DE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9149DE" w:rsidRPr="00E76DD2" w14:paraId="759EF92B" w14:textId="77777777" w:rsidTr="009149DE">
        <w:trPr>
          <w:trHeight w:val="31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BAF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10CF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8C93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FCC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21806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985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3E20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204C" w14:textId="77777777" w:rsidR="009149DE" w:rsidRPr="00E76DD2" w:rsidRDefault="009149DE" w:rsidP="00914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6DD2">
              <w:rPr>
                <w:sz w:val="24"/>
                <w:szCs w:val="24"/>
              </w:rPr>
              <w:t>8</w:t>
            </w:r>
          </w:p>
        </w:tc>
      </w:tr>
      <w:tr w:rsidR="009149DE" w:rsidRPr="00E76DD2" w14:paraId="578C989B" w14:textId="77777777" w:rsidTr="009149DE">
        <w:trPr>
          <w:trHeight w:val="11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E6A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Харцызский городской совет Донецкой Народной Республики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EA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9BB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3F1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9B15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C1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9CD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12 736,30000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E2E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717D264" w14:textId="77777777" w:rsidTr="009149DE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4B7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образований.  Обеспечение и содержание функционирования представительных органов муниципальных образований. Расходы на выплаты персоналу в целях </w:t>
            </w:r>
            <w:bookmarkStart w:id="0" w:name="_GoBack"/>
            <w:bookmarkEnd w:id="0"/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обеспечения выполнения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40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ABB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96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31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190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0ED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12 084,50000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0EA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D86949A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293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 Обеспечение и содержание функционирования представительных органов муниципальных образований.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CAA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12B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596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D8B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36D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0B4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651,80000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AAF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341E0DC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A28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Администрация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D81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26F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D32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B3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D72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58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168 762,66199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BD5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53B7FBB" w14:textId="77777777" w:rsidTr="009149DE">
        <w:trPr>
          <w:trHeight w:val="15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2B3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лица.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C2C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997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4AC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32C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7DA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06D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6 139,32300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AB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7AE365B" w14:textId="77777777" w:rsidTr="009149DE">
        <w:trPr>
          <w:trHeight w:val="3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CB6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Расходы на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F7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3B2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73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86A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CA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7B7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115 029,57700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537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5A9EA5E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FC0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70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0E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5E8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32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16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491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10 307,17200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0FF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8C6E394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31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66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89E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509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47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B3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7C4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3C0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F11B45D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904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Резервные фонды. 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33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01C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BC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AA5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24B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765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500,92846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DD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C6A1432" w14:textId="77777777" w:rsidTr="009149DE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3B0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Транспорт. Расходы на финансовую поддержку и развитие электро- и автотранспортных предприятий. Субсидии (гранты в форме субсидий) на финансовое обеспечение затрат в связи с производством (реализацией товаров),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выполнением работ, оказанием услуг,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ADC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49A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07C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3CC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34 0 00 05000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A17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AA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35 384,10000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D3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6746F84" w14:textId="77777777" w:rsidTr="009149DE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742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68D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B8D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63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621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7D9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126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5,27335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C4C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5ACC5EB" w14:textId="77777777" w:rsidTr="009149DE">
        <w:trPr>
          <w:trHeight w:val="10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EC67" w14:textId="77777777" w:rsidR="009149DE" w:rsidRPr="00E76DD2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  <w:p w14:paraId="5507EFE7" w14:textId="77777777" w:rsidR="009149DE" w:rsidRPr="00E76DD2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4B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84D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9C1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637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AE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A99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81,66400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C6E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2316789" w14:textId="77777777" w:rsidTr="009149DE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B56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Благоустройство. Расходы на ремонт и содержание линий наружного освещения. Закупка товаров, работ и услуг для обеспечения государственных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A22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AB4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CA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B5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1AF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374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1 235,82418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E98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E63798C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D2E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Молодежная политика. Создание условий успешной социализации и эффективной самореализации молодежи.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C37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81E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6BA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C90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E59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D07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D7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201AB69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F4C8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финансов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F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A84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FC9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1C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ED7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E9C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15 321,30000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BE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37137FE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AA58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Расходы на выплаты персоналу в целях обеспечения выполнения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CB9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6F64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27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FE0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759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DEE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14 409,50000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F5F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C1FBF67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C49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надзора. Обеспечение и содержание функционирования финансовых органов.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D35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551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652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E83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EF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35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C32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E2BB1FE" w14:textId="77777777" w:rsidTr="009149DE">
        <w:trPr>
          <w:trHeight w:val="13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C58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Отдел культуры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E61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EBD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BD3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0D8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58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BC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156 746,91000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DF5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32 500,00000</w:t>
            </w:r>
          </w:p>
        </w:tc>
      </w:tr>
      <w:tr w:rsidR="009149DE" w:rsidRPr="00E76DD2" w14:paraId="00F54D1A" w14:textId="77777777" w:rsidTr="009149DE">
        <w:trPr>
          <w:trHeight w:val="32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4FB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AD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C7B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03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835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91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974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43 743,30000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EEF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193750E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EB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содержание культурно-просветительных учреждений дополнительного образования (школы эстетического воспитания).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FD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82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0D8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4F2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63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98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1 407,94717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0A4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A0EEBE2" w14:textId="77777777" w:rsidTr="009149DE">
        <w:trPr>
          <w:trHeight w:val="108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481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бюджетам городских округов на поддержку отрасли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93E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CD1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4EC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737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9A4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C3C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12 626,26263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543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12 500,00000</w:t>
            </w:r>
          </w:p>
        </w:tc>
      </w:tr>
      <w:tr w:rsidR="009149DE" w:rsidRPr="00E76DD2" w14:paraId="1690DF2B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489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B7A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7A5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808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669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L2370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03B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ABE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20 202,02020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16B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20 000,00000</w:t>
            </w:r>
          </w:p>
        </w:tc>
      </w:tr>
      <w:tr w:rsidR="009149DE" w:rsidRPr="00E76DD2" w14:paraId="60BF4569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3E2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библиотечного дела.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32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195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A7B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70B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067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A3D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20 731,30000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B0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F7DA7B8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ABE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библиотечного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9AA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018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0BE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8C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DC2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A10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985,13000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90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E0D5362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F4D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Культура. Расходы на развитие музейного дела.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C26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011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BB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DAF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DE8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809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2 987,70000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E66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D2E4513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B44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Расходы на развитие музейного дела.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4A2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9B0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0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B9C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9DD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5B3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188,35000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D8A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3B3988B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A04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 Расходы на выплаты персоналу в целях обеспечения выполнения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7ED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DCC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4E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A14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15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7CB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36 570,50000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5D5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1900682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EB94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79D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D8B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D97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D8B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A61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F17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4 614,50000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E51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B46CC68" w14:textId="77777777" w:rsidTr="009149DE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5B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905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7C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0A0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989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CD5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54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214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B330630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A39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Культура. Расходы на подготовку и проведение празднования памятных дат и праздничных мероприятий.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FB0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ECB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6E9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7A9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9D4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0C3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868,10000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D9D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C06DB16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4DA8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74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72E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092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770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364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7A3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5 984,30000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845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B8A1628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B5A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Культура. Прочие культурно-просветительные предприятия, учреждения, организации и мероприятия (парки культуры и другие). Закупка товаров, работ и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FA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55E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9DF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E4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AA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02B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202,80000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2C0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EDDDAE8" w14:textId="77777777" w:rsidTr="009149DE">
        <w:trPr>
          <w:trHeight w:val="21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E1E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784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B3A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E2A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1A1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6E8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BF4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2 706,20000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1A6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B8A4927" w14:textId="77777777" w:rsidTr="009149DE">
        <w:trPr>
          <w:trHeight w:val="345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42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Прочие культурно-просветительные предприятия, учреждения, организации и мероприятия (парки культуры и другие</w:t>
            </w:r>
            <w:proofErr w:type="gramStart"/>
            <w:r w:rsidRPr="00E76DD2">
              <w:rPr>
                <w:rFonts w:eastAsia="Calibri"/>
                <w:sz w:val="24"/>
                <w:szCs w:val="24"/>
                <w:lang w:eastAsia="en-US"/>
              </w:rPr>
              <w:t>).Закупка</w:t>
            </w:r>
            <w:proofErr w:type="gramEnd"/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3FF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2E4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6F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1EE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82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139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105,30000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4AC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94D6545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3D3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Культура. Обеспечение и содержание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AEA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C5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DF7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D90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EAF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BE2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2 772,70000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AF6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4EF07E0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EF0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Культура.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5C7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56A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8C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EF1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4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8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034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8772BC9" w14:textId="77777777" w:rsidTr="009149DE">
        <w:trPr>
          <w:trHeight w:val="16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5A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Отдел по физической культуре и спорту Администрации городского округа Харцызск Донецкой Народной </w:t>
            </w: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05E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8A9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C5F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B94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87C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8C8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62 122,37000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E9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1 878,03000</w:t>
            </w:r>
          </w:p>
        </w:tc>
      </w:tr>
      <w:tr w:rsidR="009149DE" w:rsidRPr="00E76DD2" w14:paraId="5C8BA9D8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942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подготовки. Закупка товаров, работ и услуг для обеспечения государственных (муниципальных)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CAE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F00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98D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FE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L0440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9D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AC8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1 897,00000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B02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1 878,03000</w:t>
            </w:r>
          </w:p>
        </w:tc>
      </w:tr>
      <w:tr w:rsidR="009149DE" w:rsidRPr="00E76DD2" w14:paraId="5B4C4973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A4B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Подготовка, проведение физкультурных мероприятий и массовых спортивных мероприятий, соревнований, учебно-тренировочных сборов. Закупка товаров, работ и услуг для обеспечения государственных (муниципальных)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449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56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EA1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389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0CB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9B7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396,03000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021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3D7C3A0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A39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618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3BC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490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0F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7E2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742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33 621,85000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F6E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27B995B" w14:textId="77777777" w:rsidTr="009149DE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A47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Финансовое обеспечение и учебно-тренировочная работа ДЮСШ, создание условий детскому населению для занятий физической культурой и спортом. Закупка товаров, работ и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82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275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48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124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E2D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1CE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1 912,71000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A85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7476294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F9EB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Физическая культура. 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9F9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0B9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C3F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13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6D4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250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16 048,70000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FDB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256F6F81" w14:textId="77777777" w:rsidTr="009149DE">
        <w:trPr>
          <w:trHeight w:val="83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9FF4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Физическая культура. Расходы на обеспечение центров «Спорт для всех» и мероприятий по физической культуре,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внедрение и реализация физкультурно-спортивного комплекса «Готов к труду и обороне» и других учреждений в области физической культуры и спорта.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4BD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C4F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972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19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A58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3CF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2 646,58000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67D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945A0A3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72A4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Расходы на выплаты персоналу в целях обеспечения выполнения функций государственными (муниципальными) органами, казенными учреждениями"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E20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C232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6B5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859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905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7DA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2 551,85000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E7D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FF562EF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40F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Другие вопросы в области физической культуры и спорта. Организационное, информационно-аналитическое и материально-техническое обеспечение деятельности централизованных бухгалтерий.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17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AC6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07D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B3A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10 0 00 02100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E07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2A2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139,55000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E9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8899EF6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350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3A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853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E88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EF7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9EC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67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2 533,40000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68A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41F174D" w14:textId="77777777" w:rsidTr="009149DE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1F3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E86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C78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AB1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30E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F98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369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374,10000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2AA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AD1163A" w14:textId="77777777" w:rsidTr="009149DE">
        <w:trPr>
          <w:trHeight w:val="363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A065" w14:textId="77777777" w:rsidR="009149DE" w:rsidRPr="00E76DD2" w:rsidRDefault="009149DE" w:rsidP="009149DE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спорта. Обеспечение и содержание функционирования администраций 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F7B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FE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436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16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A97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3C0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9D0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870AD2C" w14:textId="77777777" w:rsidTr="009149DE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776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Управление образования Администрации городского округа Харцызск Донецкой </w:t>
            </w: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2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46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A0C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D77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128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630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764 426,32056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16E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176 324,80056</w:t>
            </w:r>
          </w:p>
        </w:tc>
      </w:tr>
      <w:tr w:rsidR="009149DE" w:rsidRPr="00E76DD2" w14:paraId="58211FEE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5F5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EEE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699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614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CD1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CAC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51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154 887,40000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EC8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6966F7E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D75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Дошкольное образование. Расходы на содержание и обеспечение деятельности системы дошкольного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CA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65F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539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E8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5B2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000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32 783,64700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AEA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4E48CE01" w14:textId="77777777" w:rsidTr="009149D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B5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F46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BBF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63C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63A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48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FEC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51 207,12720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1A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50 695,05620</w:t>
            </w:r>
          </w:p>
        </w:tc>
      </w:tr>
      <w:tr w:rsidR="009149DE" w:rsidRPr="00E76DD2" w14:paraId="038DDE55" w14:textId="77777777" w:rsidTr="009149DE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D42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BE0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F4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952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643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64A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EF2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9 807,92248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8EE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9 807,92248</w:t>
            </w:r>
          </w:p>
        </w:tc>
      </w:tr>
      <w:tr w:rsidR="009149DE" w:rsidRPr="00E76DD2" w14:paraId="32FFA378" w14:textId="77777777" w:rsidTr="009149DE">
        <w:trPr>
          <w:trHeight w:val="12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0F0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BF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00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0F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B9D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DE6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97F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20 128,92000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E56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20 128,92000</w:t>
            </w:r>
          </w:p>
        </w:tc>
      </w:tr>
      <w:tr w:rsidR="009149DE" w:rsidRPr="00E76DD2" w14:paraId="74038460" w14:textId="77777777" w:rsidTr="009149DE">
        <w:trPr>
          <w:trHeight w:val="228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08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Общее образование. Расходы на содержание и обеспечение деятельности системы общего образования, в том числе в вечерних (сменных) школах. Расходы на выплаты персоналу в целях обеспечения выполнения функций государственными (муниципальными)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C48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7E6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618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5AA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6DA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68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289 360,70000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0CB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4FC8DCD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4F4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Общее образование. Расходы на содержание и обеспечение деятельности системы общего образования, в том числе в вечерних (сменных) школах. Закупка товаров, работ и услуг для обеспечения государственных (муниципальных) нужд</w:t>
            </w:r>
          </w:p>
          <w:p w14:paraId="2EC0797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8A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63C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43D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EB9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FC0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FE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40 322,01278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B9F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0FEE31B" w14:textId="77777777" w:rsidTr="009149DE">
        <w:trPr>
          <w:trHeight w:val="26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A1E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F54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81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740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400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46C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176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13 454,42222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BA9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13 319,87800</w:t>
            </w:r>
          </w:p>
        </w:tc>
      </w:tr>
      <w:tr w:rsidR="009149DE" w:rsidRPr="00E76DD2" w14:paraId="1339078E" w14:textId="77777777" w:rsidTr="009149DE">
        <w:trPr>
          <w:trHeight w:val="58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821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Обеспечение государственных и муниципальных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5D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8A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A9F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1A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14 000 LT220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C373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2FB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69 217,06336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62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68 524,89236</w:t>
            </w:r>
          </w:p>
        </w:tc>
      </w:tr>
      <w:tr w:rsidR="009149DE" w:rsidRPr="00E76DD2" w14:paraId="4D35D421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97F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E69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7B4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3A6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42F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5Т070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53F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C0F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13 848,13152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5B5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13 848,13152</w:t>
            </w:r>
          </w:p>
        </w:tc>
      </w:tr>
      <w:tr w:rsidR="009149DE" w:rsidRPr="00E76DD2" w14:paraId="71C3F3F1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CBA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Дополнительное образование детей. Расходы на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реализацию образовательных программ дополнительного образования детей и мероприятия по их развитию.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D0E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147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5F6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2A1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698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8B4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35 364,50000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D22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4D426E2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5E7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Дополнительное образование детей. Расходы на реализацию образовательных программ дополнительного образования детей и мероприятия по их развитию.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9CB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46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143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DC7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DAE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E50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1 605,89000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113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B587579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57C9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учреждений, участвующих непосредственно в организации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методической работы и других мероприятиях в сфере народного образования.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8FE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D7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246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64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F2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6D8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4 106,90000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DA9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3945BF4" w14:textId="77777777" w:rsidTr="009149DE">
        <w:trPr>
          <w:trHeight w:val="40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79A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методической работы и других мероприятиях в сфере народного образования.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B53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C5A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E31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EFE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138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457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5,10000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9FC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C56EEFA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5E2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учреждений, участвующих непосредственно в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организации централизованного учета (бухгалтерии).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048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C35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58F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E76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5B2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9C9F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16 085,45400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605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7C4838F" w14:textId="77777777" w:rsidTr="009149D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D2F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учета (бухгалтерии).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7DD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22A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862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763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D81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D81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432,73000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67A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E1BD6D6" w14:textId="77777777" w:rsidTr="009149D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B2A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учреждений, участвующих непосредственно в организации централизованного хозяйственного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обслуживания.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36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9CC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89D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D26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7B7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BF8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3 360,20000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61F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BDDA770" w14:textId="77777777" w:rsidTr="009149DE">
        <w:trPr>
          <w:trHeight w:val="5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99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Расходы учреждений, участвующих непосредственно в организации централизованного хозяйственного обслуживания.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465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992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385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82D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94B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30C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13,60000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814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3C3A001" w14:textId="77777777" w:rsidTr="009149DE">
        <w:trPr>
          <w:trHeight w:val="7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25F7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Расходы по содержанию и обеспечению деятельности Центров (кабинетов) психолого-медико-педагогической помощи и социальной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поддержки.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49F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B09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CC2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B81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14 0 00 07070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3EEC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00B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1 679,30000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F61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C977E70" w14:textId="77777777" w:rsidTr="009149DE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236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образования. Обеспечение и содержание функционирования администраций городов, районов, других населенных пунктов и их структурных подразделений.  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D6F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030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F55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B20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321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B3F8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6 755,20000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E95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66DCB75" w14:textId="77777777" w:rsidTr="009149DE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468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образования. Обеспечение и содержание функционирования администраций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городов, районов, других населенных пунктов и их структурных подразделений. 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CF6E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7F8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822F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04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367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34F6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9EF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161354DE" w14:textId="77777777" w:rsidTr="009149DE">
        <w:trPr>
          <w:trHeight w:val="20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3905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Управление по жилищно-коммунальному хозяйству Администрации городского округа Харцызск Донецкой Народной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55D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485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EC3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621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9B6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652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32 332,78588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5FC1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b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AAE3C3D" w14:textId="77777777" w:rsidTr="009149DE">
        <w:trPr>
          <w:trHeight w:val="6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95B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фонды). Расходы за счет средств Дорожного фонда.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BD1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189A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CD9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3D2B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34 0 00 07100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807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8FE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2 828,53854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29E7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5FD092F7" w14:textId="77777777" w:rsidTr="009149DE">
        <w:trPr>
          <w:trHeight w:val="103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C846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Дорожное хозяйство (дорожные фонды). Расходы на содержание и ремонт автомобильных дорог муниципального значения. Закупка товаров, работ и услуг для обеспечения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16A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A363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F8F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DF3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F428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7EC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4 749,73965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160D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3714EB9B" w14:textId="77777777" w:rsidTr="009149DE">
        <w:trPr>
          <w:trHeight w:val="28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E7F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благоустройство городов, сел, поселков.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FD1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39F5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627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4FD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BD9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702A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968,37600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EB3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B69FDE8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584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Благоустройство.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прочее.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58E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84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DB28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9541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A3C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AF82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1 700,00000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DA2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0D1CB4E3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F8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Благоустройство. Расходы на ремонт и содержание линий наружного освещения. Закупка товаров, работ и услуг для обеспечения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C63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5211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6BF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98D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43 0 00 11000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0DC67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17A9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7 035,27369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89B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6D763C5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15CC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Расходы на выплаты персоналу в целях обеспечения выполнения функций государственными (муниципальными) органами, казенными учреждениями(муниципальных)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08D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07F10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5EA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1932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60DD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E5FC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14 375,10000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DD5E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7AC7DBE4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69E3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 xml:space="preserve">Другие вопросы в области жилищно-коммунального хозяйства. Обеспечение и содержание функционирования администраций городов, районов, других населенных пунктов и их структурных подразделений. </w:t>
            </w: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03E6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97F9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0A64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7D7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30 0 00 04000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F21C" w14:textId="77777777" w:rsidR="009149DE" w:rsidRPr="00E76DD2" w:rsidRDefault="009149DE" w:rsidP="009149D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03F3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675,75800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4AB5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0,00000</w:t>
            </w:r>
          </w:p>
        </w:tc>
      </w:tr>
      <w:tr w:rsidR="009149DE" w:rsidRPr="00E76DD2" w14:paraId="6B2D59B7" w14:textId="77777777" w:rsidTr="009149D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A75F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D6EE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4620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8EF0D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8CC1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A972" w14:textId="77777777" w:rsidR="009149DE" w:rsidRPr="00E76DD2" w:rsidRDefault="009149DE" w:rsidP="009149D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260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1 212 448,64843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3684" w14:textId="77777777" w:rsidR="009149DE" w:rsidRPr="00E76DD2" w:rsidRDefault="009149DE" w:rsidP="009149DE">
            <w:pPr>
              <w:spacing w:after="200" w:line="276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76DD2">
              <w:rPr>
                <w:rFonts w:eastAsia="Calibri"/>
                <w:sz w:val="24"/>
                <w:szCs w:val="24"/>
                <w:lang w:eastAsia="en-US"/>
              </w:rPr>
              <w:t>210 702,83056</w:t>
            </w:r>
          </w:p>
        </w:tc>
      </w:tr>
    </w:tbl>
    <w:p w14:paraId="45D7B3AC" w14:textId="77777777" w:rsidR="009149DE" w:rsidRPr="00E76DD2" w:rsidRDefault="009149DE" w:rsidP="00DD2363">
      <w:pPr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sectPr w:rsidR="009149DE" w:rsidRPr="00E76DD2" w:rsidSect="009276DD">
      <w:footerReference w:type="default" r:id="rId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845F" w14:textId="77777777" w:rsidR="00E76DD2" w:rsidRDefault="00E76DD2">
      <w:r>
        <w:separator/>
      </w:r>
    </w:p>
  </w:endnote>
  <w:endnote w:type="continuationSeparator" w:id="0">
    <w:p w14:paraId="49F12639" w14:textId="77777777" w:rsidR="00E76DD2" w:rsidRDefault="00E7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7F72" w14:textId="5DC52226" w:rsidR="00E76DD2" w:rsidRDefault="00E76DD2">
    <w:pPr>
      <w:pStyle w:val="af8"/>
      <w:jc w:val="right"/>
    </w:pPr>
  </w:p>
  <w:p w14:paraId="14FD7DCD" w14:textId="77777777" w:rsidR="00E76DD2" w:rsidRDefault="00E76DD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DDCA6" w14:textId="77777777" w:rsidR="00E76DD2" w:rsidRDefault="00E76DD2">
      <w:r>
        <w:separator/>
      </w:r>
    </w:p>
  </w:footnote>
  <w:footnote w:type="continuationSeparator" w:id="0">
    <w:p w14:paraId="5DB3CC75" w14:textId="77777777" w:rsidR="00E76DD2" w:rsidRDefault="00E76DD2">
      <w:r>
        <w:continuationSeparator/>
      </w:r>
    </w:p>
  </w:footnote>
  <w:footnote w:type="continuationNotice" w:id="1">
    <w:p w14:paraId="7D4B528F" w14:textId="77777777" w:rsidR="00E76DD2" w:rsidRDefault="00E76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C4AA7"/>
    <w:multiLevelType w:val="hybridMultilevel"/>
    <w:tmpl w:val="16704EE8"/>
    <w:lvl w:ilvl="0" w:tplc="8624A98E">
      <w:start w:val="1"/>
      <w:numFmt w:val="decimal"/>
      <w:lvlText w:val="%1."/>
      <w:lvlJc w:val="left"/>
      <w:pPr>
        <w:ind w:left="193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46161B"/>
    <w:multiLevelType w:val="hybridMultilevel"/>
    <w:tmpl w:val="91F6FE64"/>
    <w:lvl w:ilvl="0" w:tplc="30F6B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5C3C7F"/>
    <w:multiLevelType w:val="hybridMultilevel"/>
    <w:tmpl w:val="BB3A414A"/>
    <w:lvl w:ilvl="0" w:tplc="1F4E7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B0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2AB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313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4A3"/>
    <w:rsid w:val="00096998"/>
    <w:rsid w:val="00096E2A"/>
    <w:rsid w:val="00097A69"/>
    <w:rsid w:val="000A026E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679"/>
    <w:rsid w:val="000B76E7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172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1FB9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25D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C7D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9B5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4BA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0EF"/>
    <w:rsid w:val="00154181"/>
    <w:rsid w:val="001556C7"/>
    <w:rsid w:val="00156120"/>
    <w:rsid w:val="00156606"/>
    <w:rsid w:val="00156F8E"/>
    <w:rsid w:val="00157076"/>
    <w:rsid w:val="00157C58"/>
    <w:rsid w:val="0016010F"/>
    <w:rsid w:val="001608C4"/>
    <w:rsid w:val="00160B17"/>
    <w:rsid w:val="00160C18"/>
    <w:rsid w:val="00160EE5"/>
    <w:rsid w:val="0016105B"/>
    <w:rsid w:val="00162358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13A"/>
    <w:rsid w:val="00167F93"/>
    <w:rsid w:val="00170958"/>
    <w:rsid w:val="00171780"/>
    <w:rsid w:val="001728AA"/>
    <w:rsid w:val="00172A88"/>
    <w:rsid w:val="00173393"/>
    <w:rsid w:val="001734C5"/>
    <w:rsid w:val="00173E59"/>
    <w:rsid w:val="0017473C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6A8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BFA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94B"/>
    <w:rsid w:val="001C19F4"/>
    <w:rsid w:val="001C1B2D"/>
    <w:rsid w:val="001C36E4"/>
    <w:rsid w:val="001C3AAE"/>
    <w:rsid w:val="001C46E0"/>
    <w:rsid w:val="001C4B57"/>
    <w:rsid w:val="001C4F61"/>
    <w:rsid w:val="001C56EE"/>
    <w:rsid w:val="001C5A56"/>
    <w:rsid w:val="001C5FC3"/>
    <w:rsid w:val="001C6F2D"/>
    <w:rsid w:val="001C6F38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7F1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9ED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AEC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C6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CED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A75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5C3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56A7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3ED3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0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67F7D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D76"/>
    <w:rsid w:val="003A4EAD"/>
    <w:rsid w:val="003A5048"/>
    <w:rsid w:val="003A5666"/>
    <w:rsid w:val="003A5762"/>
    <w:rsid w:val="003A5788"/>
    <w:rsid w:val="003A678E"/>
    <w:rsid w:val="003A680F"/>
    <w:rsid w:val="003A7201"/>
    <w:rsid w:val="003A7268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F50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267C"/>
    <w:rsid w:val="003D36F0"/>
    <w:rsid w:val="003D3734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FE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1CF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17965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5DE7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02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A27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A6"/>
    <w:rsid w:val="004812BD"/>
    <w:rsid w:val="00481E72"/>
    <w:rsid w:val="00481FB1"/>
    <w:rsid w:val="0048231E"/>
    <w:rsid w:val="00482630"/>
    <w:rsid w:val="00482D09"/>
    <w:rsid w:val="00482E24"/>
    <w:rsid w:val="00483588"/>
    <w:rsid w:val="0048384F"/>
    <w:rsid w:val="004838D6"/>
    <w:rsid w:val="00483D58"/>
    <w:rsid w:val="00484837"/>
    <w:rsid w:val="0048498F"/>
    <w:rsid w:val="00485235"/>
    <w:rsid w:val="004852BB"/>
    <w:rsid w:val="004855C9"/>
    <w:rsid w:val="004856D8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826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3F77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68A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1C77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02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7B7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8F0"/>
    <w:rsid w:val="00542939"/>
    <w:rsid w:val="005437E5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1EC"/>
    <w:rsid w:val="005908F6"/>
    <w:rsid w:val="00590DCB"/>
    <w:rsid w:val="00590E38"/>
    <w:rsid w:val="005913AA"/>
    <w:rsid w:val="0059238B"/>
    <w:rsid w:val="00592D60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4EB7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3EC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1AF1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D3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A2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C6B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A00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275"/>
    <w:rsid w:val="006E08E0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1D3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0D"/>
    <w:rsid w:val="007101D5"/>
    <w:rsid w:val="00710805"/>
    <w:rsid w:val="0071127F"/>
    <w:rsid w:val="00711DD0"/>
    <w:rsid w:val="0071285B"/>
    <w:rsid w:val="00712E0F"/>
    <w:rsid w:val="007132FC"/>
    <w:rsid w:val="007137AF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5D04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57F98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699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416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1C94"/>
    <w:rsid w:val="007B2FD0"/>
    <w:rsid w:val="007B3186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46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A1B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091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A1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6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EB6"/>
    <w:rsid w:val="00860F09"/>
    <w:rsid w:val="0086176F"/>
    <w:rsid w:val="00861D86"/>
    <w:rsid w:val="00863165"/>
    <w:rsid w:val="0086332C"/>
    <w:rsid w:val="00863988"/>
    <w:rsid w:val="0086498F"/>
    <w:rsid w:val="008649CA"/>
    <w:rsid w:val="00864A43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3AF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B8"/>
    <w:rsid w:val="0088246B"/>
    <w:rsid w:val="00882A63"/>
    <w:rsid w:val="00883205"/>
    <w:rsid w:val="00883294"/>
    <w:rsid w:val="008834F2"/>
    <w:rsid w:val="008835A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4D4"/>
    <w:rsid w:val="008A6890"/>
    <w:rsid w:val="008A6900"/>
    <w:rsid w:val="008A7288"/>
    <w:rsid w:val="008A78DF"/>
    <w:rsid w:val="008A7AB5"/>
    <w:rsid w:val="008A7D48"/>
    <w:rsid w:val="008A7EC2"/>
    <w:rsid w:val="008B0E28"/>
    <w:rsid w:val="008B163A"/>
    <w:rsid w:val="008B26B4"/>
    <w:rsid w:val="008B2C0B"/>
    <w:rsid w:val="008B307E"/>
    <w:rsid w:val="008B3336"/>
    <w:rsid w:val="008B3C50"/>
    <w:rsid w:val="008B3F25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9C8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2A09"/>
    <w:rsid w:val="008E4226"/>
    <w:rsid w:val="008E4B9F"/>
    <w:rsid w:val="008E4E59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A15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9DE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A6D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6DD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1BCF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6F27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190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75F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2F2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132"/>
    <w:rsid w:val="009A3B04"/>
    <w:rsid w:val="009A3EDA"/>
    <w:rsid w:val="009A488E"/>
    <w:rsid w:val="009A5046"/>
    <w:rsid w:val="009A5FF2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6A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5DB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5D20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FA7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4805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6C89"/>
    <w:rsid w:val="00A2732C"/>
    <w:rsid w:val="00A2771D"/>
    <w:rsid w:val="00A27B68"/>
    <w:rsid w:val="00A30689"/>
    <w:rsid w:val="00A32093"/>
    <w:rsid w:val="00A3274E"/>
    <w:rsid w:val="00A32A1A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44C"/>
    <w:rsid w:val="00A42C3A"/>
    <w:rsid w:val="00A430E0"/>
    <w:rsid w:val="00A43E49"/>
    <w:rsid w:val="00A4410B"/>
    <w:rsid w:val="00A44225"/>
    <w:rsid w:val="00A44466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44"/>
    <w:rsid w:val="00A579D0"/>
    <w:rsid w:val="00A60376"/>
    <w:rsid w:val="00A606BA"/>
    <w:rsid w:val="00A606D1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129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5E8C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0D4"/>
    <w:rsid w:val="00AC7457"/>
    <w:rsid w:val="00AC79C0"/>
    <w:rsid w:val="00AD036A"/>
    <w:rsid w:val="00AD0C85"/>
    <w:rsid w:val="00AD1205"/>
    <w:rsid w:val="00AD16C5"/>
    <w:rsid w:val="00AD21B8"/>
    <w:rsid w:val="00AD24BC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077DE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5E5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E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5B53"/>
    <w:rsid w:val="00B86021"/>
    <w:rsid w:val="00B86AFF"/>
    <w:rsid w:val="00B9022B"/>
    <w:rsid w:val="00B906C7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5AC"/>
    <w:rsid w:val="00BB0743"/>
    <w:rsid w:val="00BB08D8"/>
    <w:rsid w:val="00BB0B0C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A2B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32B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3D08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A44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1D96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413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9D3"/>
    <w:rsid w:val="00C41EE8"/>
    <w:rsid w:val="00C42141"/>
    <w:rsid w:val="00C42BA3"/>
    <w:rsid w:val="00C42EF3"/>
    <w:rsid w:val="00C430BC"/>
    <w:rsid w:val="00C43239"/>
    <w:rsid w:val="00C43ACC"/>
    <w:rsid w:val="00C43D02"/>
    <w:rsid w:val="00C43EC6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6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13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F3B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677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299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0ED"/>
    <w:rsid w:val="00CE133A"/>
    <w:rsid w:val="00CE14F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38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7B0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1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9"/>
    <w:rsid w:val="00D21C6D"/>
    <w:rsid w:val="00D2212C"/>
    <w:rsid w:val="00D221B1"/>
    <w:rsid w:val="00D2317A"/>
    <w:rsid w:val="00D23511"/>
    <w:rsid w:val="00D23939"/>
    <w:rsid w:val="00D23A72"/>
    <w:rsid w:val="00D23AB9"/>
    <w:rsid w:val="00D24365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54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932"/>
    <w:rsid w:val="00D42A3C"/>
    <w:rsid w:val="00D4322A"/>
    <w:rsid w:val="00D44961"/>
    <w:rsid w:val="00D44989"/>
    <w:rsid w:val="00D449FF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2D95"/>
    <w:rsid w:val="00D62E21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4D0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5873"/>
    <w:rsid w:val="00D860EE"/>
    <w:rsid w:val="00D8629B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1A9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0A01"/>
    <w:rsid w:val="00DC22C6"/>
    <w:rsid w:val="00DC2386"/>
    <w:rsid w:val="00DC2B10"/>
    <w:rsid w:val="00DC3BE3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363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1C3A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559"/>
    <w:rsid w:val="00E10BF3"/>
    <w:rsid w:val="00E11019"/>
    <w:rsid w:val="00E11A6C"/>
    <w:rsid w:val="00E11B2F"/>
    <w:rsid w:val="00E1277E"/>
    <w:rsid w:val="00E12798"/>
    <w:rsid w:val="00E12B19"/>
    <w:rsid w:val="00E132AA"/>
    <w:rsid w:val="00E1339C"/>
    <w:rsid w:val="00E13536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297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27C"/>
    <w:rsid w:val="00E3797D"/>
    <w:rsid w:val="00E37ABA"/>
    <w:rsid w:val="00E40143"/>
    <w:rsid w:val="00E40663"/>
    <w:rsid w:val="00E408FA"/>
    <w:rsid w:val="00E41017"/>
    <w:rsid w:val="00E41CE7"/>
    <w:rsid w:val="00E42194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6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6DD2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46A2"/>
    <w:rsid w:val="00E84D41"/>
    <w:rsid w:val="00E850FF"/>
    <w:rsid w:val="00E8560D"/>
    <w:rsid w:val="00E85D64"/>
    <w:rsid w:val="00E85FD0"/>
    <w:rsid w:val="00E86175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514"/>
    <w:rsid w:val="00E97A27"/>
    <w:rsid w:val="00E97B58"/>
    <w:rsid w:val="00EA024A"/>
    <w:rsid w:val="00EA0502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9B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5FCE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929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0FD9"/>
    <w:rsid w:val="00EE230D"/>
    <w:rsid w:val="00EE23BA"/>
    <w:rsid w:val="00EE2427"/>
    <w:rsid w:val="00EE279C"/>
    <w:rsid w:val="00EE2FE6"/>
    <w:rsid w:val="00EE36A0"/>
    <w:rsid w:val="00EE3930"/>
    <w:rsid w:val="00EE3C5A"/>
    <w:rsid w:val="00EE3CC1"/>
    <w:rsid w:val="00EE3CF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EF7E4C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91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2F28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090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6FF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1770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B0A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C62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E7F3E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3D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87676818-5859-4305-9E57-9CD30980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E13EC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061313"/>
    <w:pPr>
      <w:ind w:firstLine="709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29C3D8BB-3936-4385-A868-2F838914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3400</Words>
  <Characters>19382</Characters>
  <Application>Microsoft Office Word</Application>
  <DocSecurity>4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2</cp:revision>
  <cp:lastPrinted>2024-06-03T09:58:00Z</cp:lastPrinted>
  <dcterms:created xsi:type="dcterms:W3CDTF">2024-09-04T09:41:00Z</dcterms:created>
  <dcterms:modified xsi:type="dcterms:W3CDTF">2024-09-04T09:41:00Z</dcterms:modified>
</cp:coreProperties>
</file>