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к решению Мариупольского</w:t>
      </w:r>
    </w:p>
    <w:p w:rsidR="009476D7" w:rsidRPr="009476D7" w:rsidRDefault="009476D7" w:rsidP="009476D7">
      <w:pPr>
        <w:tabs>
          <w:tab w:val="left" w:pos="5670"/>
        </w:tabs>
        <w:spacing w:after="0" w:line="240" w:lineRule="auto"/>
        <w:ind w:left="708" w:firstLine="708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городского совета</w:t>
      </w:r>
    </w:p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от 27.09.2024 № </w:t>
      </w:r>
      <w:r w:rsidRPr="009476D7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9476D7">
        <w:rPr>
          <w:rFonts w:ascii="Times New Roman" w:eastAsia="Calibri" w:hAnsi="Times New Roman" w:cs="Times New Roman"/>
          <w:sz w:val="26"/>
          <w:szCs w:val="26"/>
        </w:rPr>
        <w:t>/19-1</w:t>
      </w:r>
    </w:p>
    <w:p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9476D7">
        <w:rPr>
          <w:rFonts w:ascii="Times New Roman" w:eastAsia="DengXian" w:hAnsi="Times New Roman" w:cs="Times New Roman"/>
          <w:sz w:val="26"/>
          <w:szCs w:val="26"/>
          <w:lang w:eastAsia="ru-RU"/>
        </w:rPr>
        <w:t>Перечень муниципальных программ муниципального образования городского округа Мариуполь, финансовое обеспечение которых предусмотрено расходной частью бюджета Мариупольского городского округа на 2024 год</w:t>
      </w:r>
    </w:p>
    <w:p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right"/>
        <w:rPr>
          <w:rFonts w:ascii="Times New Roman" w:eastAsia="DengXi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47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тыс.рублей</w:t>
      </w:r>
      <w:proofErr w:type="spellEnd"/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05"/>
        <w:gridCol w:w="2411"/>
        <w:gridCol w:w="2686"/>
      </w:tblGrid>
      <w:tr w:rsidR="009476D7" w:rsidRPr="009476D7" w:rsidTr="00086D84">
        <w:trPr>
          <w:jc w:val="center"/>
        </w:trPr>
        <w:tc>
          <w:tcPr>
            <w:tcW w:w="377" w:type="pct"/>
            <w:vMerge w:val="restar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76" w:type="pct"/>
            <w:vMerge w:val="restar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7" w:type="pct"/>
            <w:gridSpan w:val="2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9476D7" w:rsidRPr="009476D7" w:rsidTr="00086D84">
        <w:trPr>
          <w:jc w:val="center"/>
        </w:trPr>
        <w:tc>
          <w:tcPr>
            <w:tcW w:w="377" w:type="pct"/>
            <w:vMerge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pct"/>
            <w:vMerge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 том числе средства вышестоящих бюджетов</w:t>
            </w:r>
          </w:p>
        </w:tc>
      </w:tr>
      <w:tr w:rsidR="009476D7" w:rsidRPr="009476D7" w:rsidTr="00086D84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76D7" w:rsidRPr="009476D7" w:rsidTr="00086D84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«Восстановление объектов индивидуального жилищного строительства городского округа Мариуполь в 2024 году»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139 127,815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Временно исполняющий полномочия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главы муниципального образования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городского округа Мариуполь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</w:t>
      </w:r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Pr="009476D7">
        <w:rPr>
          <w:rFonts w:ascii="Times New Roman" w:eastAsia="Calibri" w:hAnsi="Times New Roman" w:cs="Times New Roman"/>
          <w:sz w:val="26"/>
          <w:szCs w:val="26"/>
        </w:rPr>
        <w:t>О.В. Моргун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Исполняющий обязанности председателя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Мариупольского городского совета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</w:t>
      </w:r>
    </w:p>
    <w:p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первого созыва</w:t>
      </w:r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 Ю.А. Сенин</w:t>
      </w:r>
    </w:p>
    <w:p w:rsidR="009B0DBA" w:rsidRPr="009476D7" w:rsidRDefault="00947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B0DBA" w:rsidRPr="009476D7" w:rsidSect="00993B8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93E" w:rsidRDefault="009476D7" w:rsidP="00287E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D7"/>
    <w:rsid w:val="001D4C18"/>
    <w:rsid w:val="009476D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5593"/>
  <w15:chartTrackingRefBased/>
  <w15:docId w15:val="{F49472CF-8411-4A4F-A121-940A295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2024-11-07T13:05:00Z</dcterms:created>
  <dcterms:modified xsi:type="dcterms:W3CDTF">2024-11-07T13:07:00Z</dcterms:modified>
</cp:coreProperties>
</file>