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8AB9D" w14:textId="77777777" w:rsidR="008427DA" w:rsidRDefault="008427DA" w:rsidP="008427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7DA">
        <w:rPr>
          <w:rFonts w:ascii="Times New Roman" w:hAnsi="Times New Roman" w:cs="Times New Roman"/>
          <w:b/>
          <w:bCs/>
          <w:sz w:val="24"/>
          <w:szCs w:val="24"/>
        </w:rPr>
        <w:t>ПРИЛОЖЕНИЕ А</w:t>
      </w:r>
      <w:r w:rsidRPr="008427DA">
        <w:rPr>
          <w:rFonts w:ascii="Times New Roman" w:hAnsi="Times New Roman" w:cs="Times New Roman"/>
          <w:b/>
          <w:bCs/>
          <w:sz w:val="24"/>
          <w:szCs w:val="24"/>
        </w:rPr>
        <w:br/>
        <w:t>(справочное)</w:t>
      </w:r>
    </w:p>
    <w:p w14:paraId="6B26BD38" w14:textId="1C42461E" w:rsidR="008427DA" w:rsidRPr="008427DA" w:rsidRDefault="008427DA" w:rsidP="008427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7DA">
        <w:rPr>
          <w:rFonts w:ascii="Times New Roman" w:hAnsi="Times New Roman" w:cs="Times New Roman"/>
          <w:b/>
          <w:bCs/>
          <w:sz w:val="24"/>
          <w:szCs w:val="24"/>
        </w:rPr>
        <w:br/>
        <w:t>Научные предпосылки</w:t>
      </w:r>
      <w:r w:rsidRPr="008427DA">
        <w:rPr>
          <w:rFonts w:ascii="Times New Roman" w:hAnsi="Times New Roman" w:cs="Times New Roman"/>
          <w:sz w:val="24"/>
          <w:szCs w:val="24"/>
        </w:rPr>
        <w:br/>
      </w:r>
    </w:p>
    <w:p w14:paraId="4835EDB4" w14:textId="588148CA" w:rsidR="008427DA" w:rsidRPr="008427DA" w:rsidRDefault="008427DA" w:rsidP="008427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7DA">
        <w:rPr>
          <w:rFonts w:ascii="Times New Roman" w:hAnsi="Times New Roman" w:cs="Times New Roman"/>
          <w:sz w:val="24"/>
          <w:szCs w:val="24"/>
        </w:rPr>
        <w:t>Значения ожоговых порогов, приведенные в 4.2, получены на основе научных исследований,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выполненных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разными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авторами.</w:t>
      </w:r>
      <w:r w:rsidRPr="008427DA">
        <w:rPr>
          <w:rFonts w:ascii="Times New Roman" w:hAnsi="Times New Roman" w:cs="Times New Roman"/>
          <w:sz w:val="24"/>
          <w:szCs w:val="24"/>
        </w:rPr>
        <w:br/>
      </w:r>
    </w:p>
    <w:p w14:paraId="57ECDCA5" w14:textId="11D4A231" w:rsidR="008427DA" w:rsidRPr="008427DA" w:rsidRDefault="008427DA" w:rsidP="008427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7DA">
        <w:rPr>
          <w:rFonts w:ascii="Times New Roman" w:hAnsi="Times New Roman" w:cs="Times New Roman"/>
          <w:sz w:val="24"/>
          <w:szCs w:val="24"/>
        </w:rPr>
        <w:t>Моритц</w:t>
      </w:r>
      <w:proofErr w:type="spellEnd"/>
      <w:r w:rsidRPr="008427DA">
        <w:rPr>
          <w:rFonts w:ascii="Times New Roman" w:hAnsi="Times New Roman" w:cs="Times New Roman"/>
          <w:sz w:val="24"/>
          <w:szCs w:val="24"/>
        </w:rPr>
        <w:t xml:space="preserve"> и Генри проводили испытания со свиной кожей, аналогичной человеческой [2]. Они определили температуру на поверхности кожи, которая вызывает ожоги. Повреждения кожи зависят от температуры поверхности кожи и продолжительности контакта. По результатам исследований </w:t>
      </w:r>
      <w:proofErr w:type="spellStart"/>
      <w:r w:rsidRPr="008427DA">
        <w:rPr>
          <w:rFonts w:ascii="Times New Roman" w:hAnsi="Times New Roman" w:cs="Times New Roman"/>
          <w:sz w:val="24"/>
          <w:szCs w:val="24"/>
        </w:rPr>
        <w:t>Моритц</w:t>
      </w:r>
      <w:proofErr w:type="spellEnd"/>
      <w:r w:rsidRPr="008427DA">
        <w:rPr>
          <w:rFonts w:ascii="Times New Roman" w:hAnsi="Times New Roman" w:cs="Times New Roman"/>
          <w:sz w:val="24"/>
          <w:szCs w:val="24"/>
        </w:rPr>
        <w:t xml:space="preserve"> и Генри установили для каждого периода контакта две температурные границы. Нижняя граница отделяет безопасный контакт от начала восстанавливаемого повреждения. Верхняя граница отделяет восстанавливаемое повреждение от невосстанавливаемого, которое не заживает и приводит к полному разрушению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кожи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(ожог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всю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глубину).</w:t>
      </w:r>
    </w:p>
    <w:p w14:paraId="34D98002" w14:textId="255EF430" w:rsidR="008427DA" w:rsidRPr="008427DA" w:rsidRDefault="008427DA" w:rsidP="008427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7D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427DA">
        <w:rPr>
          <w:rFonts w:ascii="Times New Roman" w:hAnsi="Times New Roman" w:cs="Times New Roman"/>
          <w:sz w:val="24"/>
          <w:szCs w:val="24"/>
        </w:rPr>
        <w:t xml:space="preserve"> исследовал течение теплового потока от горячего объекта к коже при прикосновении объекта к коже [3, 4]. Он вывел формулу для расчета температуры на поверхности и внутри кожи. Используя значения ожоговых порогов по </w:t>
      </w:r>
      <w:proofErr w:type="spellStart"/>
      <w:r w:rsidRPr="008427DA">
        <w:rPr>
          <w:rFonts w:ascii="Times New Roman" w:hAnsi="Times New Roman" w:cs="Times New Roman"/>
          <w:sz w:val="24"/>
          <w:szCs w:val="24"/>
        </w:rPr>
        <w:t>Моритцу</w:t>
      </w:r>
      <w:proofErr w:type="spellEnd"/>
      <w:r w:rsidRPr="008427DA">
        <w:rPr>
          <w:rFonts w:ascii="Times New Roman" w:hAnsi="Times New Roman" w:cs="Times New Roman"/>
          <w:sz w:val="24"/>
          <w:szCs w:val="24"/>
        </w:rPr>
        <w:t xml:space="preserve"> и Генри, возможно в отдельных случаях определить температуру поверхности кожи при соприкосновении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горячей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поверхностью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[5].</w:t>
      </w:r>
    </w:p>
    <w:p w14:paraId="17108CF1" w14:textId="0F2C30CD" w:rsidR="008427DA" w:rsidRPr="008427DA" w:rsidRDefault="008427DA" w:rsidP="008427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7DA">
        <w:rPr>
          <w:rFonts w:ascii="Times New Roman" w:hAnsi="Times New Roman" w:cs="Times New Roman"/>
          <w:sz w:val="24"/>
          <w:szCs w:val="24"/>
        </w:rPr>
        <w:t>Зикман</w:t>
      </w:r>
      <w:proofErr w:type="spellEnd"/>
      <w:r w:rsidRPr="008427DA">
        <w:rPr>
          <w:rFonts w:ascii="Times New Roman" w:hAnsi="Times New Roman" w:cs="Times New Roman"/>
          <w:sz w:val="24"/>
          <w:szCs w:val="24"/>
        </w:rPr>
        <w:t xml:space="preserve"> использовал этот прибор для определения температуры горячего объекта, которая приводит к ожогу при соприкосновении с кожей [6]. Он менял температуру горячего объекта до значения, лежащего на нижнем пределе границы между безопасным прикосновением и восстанавливаемым повреждением, определенным </w:t>
      </w:r>
      <w:proofErr w:type="spellStart"/>
      <w:r w:rsidRPr="008427DA">
        <w:rPr>
          <w:rFonts w:ascii="Times New Roman" w:hAnsi="Times New Roman" w:cs="Times New Roman"/>
          <w:sz w:val="24"/>
          <w:szCs w:val="24"/>
        </w:rPr>
        <w:t>Моритцем</w:t>
      </w:r>
      <w:proofErr w:type="spellEnd"/>
      <w:r w:rsidRPr="008427DA">
        <w:rPr>
          <w:rFonts w:ascii="Times New Roman" w:hAnsi="Times New Roman" w:cs="Times New Roman"/>
          <w:sz w:val="24"/>
          <w:szCs w:val="24"/>
        </w:rPr>
        <w:t xml:space="preserve"> и Генри [2]. Затем он изменил температуру поверхности объекта обычными методами. Он провел также измерения для объектов, изготовленных из различных материалов и для различной продолжительности контакта. Бауэр и </w:t>
      </w:r>
      <w:proofErr w:type="spellStart"/>
      <w:r w:rsidRPr="008427DA">
        <w:rPr>
          <w:rFonts w:ascii="Times New Roman" w:hAnsi="Times New Roman" w:cs="Times New Roman"/>
          <w:sz w:val="24"/>
          <w:szCs w:val="24"/>
        </w:rPr>
        <w:t>Манцигер</w:t>
      </w:r>
      <w:proofErr w:type="spellEnd"/>
      <w:r w:rsidRPr="008427DA">
        <w:rPr>
          <w:rFonts w:ascii="Times New Roman" w:hAnsi="Times New Roman" w:cs="Times New Roman"/>
          <w:sz w:val="24"/>
          <w:szCs w:val="24"/>
        </w:rPr>
        <w:t xml:space="preserve"> провели испытания на крысах и свиньях [7]. Они определили температуры различных материалов, которые вызывают ожоги различной глубины и степени тяжести при соприкосновении кожи животных с горячей поверхностью объекта. Несмотря на большой разброс температур, результаты соответствуют результатам </w:t>
      </w:r>
      <w:proofErr w:type="spellStart"/>
      <w:r w:rsidRPr="008427DA">
        <w:rPr>
          <w:rFonts w:ascii="Times New Roman" w:hAnsi="Times New Roman" w:cs="Times New Roman"/>
          <w:sz w:val="24"/>
          <w:szCs w:val="24"/>
        </w:rPr>
        <w:t>Зикмана</w:t>
      </w:r>
      <w:proofErr w:type="spellEnd"/>
      <w:r w:rsidRPr="008427DA">
        <w:rPr>
          <w:rFonts w:ascii="Times New Roman" w:hAnsi="Times New Roman" w:cs="Times New Roman"/>
          <w:sz w:val="24"/>
          <w:szCs w:val="24"/>
        </w:rPr>
        <w:t xml:space="preserve">. Температура поверхностей металлов, вызывающих ожог, определенная </w:t>
      </w:r>
      <w:proofErr w:type="spellStart"/>
      <w:r w:rsidRPr="008427DA">
        <w:rPr>
          <w:rFonts w:ascii="Times New Roman" w:hAnsi="Times New Roman" w:cs="Times New Roman"/>
          <w:sz w:val="24"/>
          <w:szCs w:val="24"/>
        </w:rPr>
        <w:t>Зикманом</w:t>
      </w:r>
      <w:proofErr w:type="spellEnd"/>
      <w:r w:rsidRPr="008427DA">
        <w:rPr>
          <w:rFonts w:ascii="Times New Roman" w:hAnsi="Times New Roman" w:cs="Times New Roman"/>
          <w:sz w:val="24"/>
          <w:szCs w:val="24"/>
        </w:rPr>
        <w:t xml:space="preserve"> для непродолжительных контактов, совпадает с результатами вычислений по формуле </w:t>
      </w:r>
      <w:proofErr w:type="spellStart"/>
      <w:r w:rsidRPr="008427D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427DA">
        <w:rPr>
          <w:rFonts w:ascii="Times New Roman" w:hAnsi="Times New Roman" w:cs="Times New Roman"/>
          <w:sz w:val="24"/>
          <w:szCs w:val="24"/>
        </w:rPr>
        <w:t xml:space="preserve"> [6] с точностью до 2-3 °С. Для материалов с более низкой теплопроводностью результаты эксперимента и расчета согласуются хуже, чем для металлов. Для материалов с очень низкой теплопроводностью расчеты дают систематически более высокие значения, чем результаты измерений. Для этих материалов расчеты не обеспечивают надежных результатов. Ожоговые пороги, приведенные в настоящем стандарте, основаны на результатах измерений </w:t>
      </w:r>
      <w:proofErr w:type="spellStart"/>
      <w:r w:rsidRPr="008427DA">
        <w:rPr>
          <w:rFonts w:ascii="Times New Roman" w:hAnsi="Times New Roman" w:cs="Times New Roman"/>
          <w:sz w:val="24"/>
          <w:szCs w:val="24"/>
        </w:rPr>
        <w:t>Зикмана</w:t>
      </w:r>
      <w:proofErr w:type="spellEnd"/>
      <w:r w:rsidRPr="008427DA">
        <w:rPr>
          <w:rFonts w:ascii="Times New Roman" w:hAnsi="Times New Roman" w:cs="Times New Roman"/>
          <w:sz w:val="24"/>
          <w:szCs w:val="24"/>
        </w:rPr>
        <w:t xml:space="preserve"> [6] для непродолжительных контактов и на результатах </w:t>
      </w:r>
      <w:proofErr w:type="spellStart"/>
      <w:r w:rsidRPr="008427DA">
        <w:rPr>
          <w:rFonts w:ascii="Times New Roman" w:hAnsi="Times New Roman" w:cs="Times New Roman"/>
          <w:sz w:val="24"/>
          <w:szCs w:val="24"/>
        </w:rPr>
        <w:t>Моритца</w:t>
      </w:r>
      <w:proofErr w:type="spellEnd"/>
      <w:r w:rsidRPr="008427DA">
        <w:rPr>
          <w:rFonts w:ascii="Times New Roman" w:hAnsi="Times New Roman" w:cs="Times New Roman"/>
          <w:sz w:val="24"/>
          <w:szCs w:val="24"/>
        </w:rPr>
        <w:t xml:space="preserve"> и Генри [2] для продолжительных контактов. Для непродолжительных контактов значения ожоговых порогов в отдельных случаях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ненадежны.</w:t>
      </w:r>
    </w:p>
    <w:p w14:paraId="518B5754" w14:textId="77777777" w:rsidR="008427DA" w:rsidRDefault="008427DA" w:rsidP="008427DA">
      <w:pPr>
        <w:jc w:val="both"/>
        <w:rPr>
          <w:rFonts w:ascii="Times New Roman" w:hAnsi="Times New Roman" w:cs="Times New Roman"/>
          <w:sz w:val="24"/>
          <w:szCs w:val="24"/>
        </w:rPr>
      </w:pPr>
      <w:r w:rsidRPr="008427DA">
        <w:rPr>
          <w:rFonts w:ascii="Times New Roman" w:hAnsi="Times New Roman" w:cs="Times New Roman"/>
          <w:sz w:val="24"/>
          <w:szCs w:val="24"/>
        </w:rPr>
        <w:t>Причины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этому:</w:t>
      </w:r>
      <w:r w:rsidRPr="008427DA">
        <w:rPr>
          <w:rFonts w:ascii="Times New Roman" w:hAnsi="Times New Roman" w:cs="Times New Roman"/>
          <w:sz w:val="24"/>
          <w:szCs w:val="24"/>
        </w:rPr>
        <w:br/>
      </w:r>
    </w:p>
    <w:p w14:paraId="3CBEF5CB" w14:textId="77777777" w:rsidR="008427DA" w:rsidRDefault="008427DA" w:rsidP="008427DA">
      <w:pPr>
        <w:jc w:val="both"/>
        <w:rPr>
          <w:rFonts w:ascii="Times New Roman" w:hAnsi="Times New Roman" w:cs="Times New Roman"/>
          <w:sz w:val="24"/>
          <w:szCs w:val="24"/>
        </w:rPr>
      </w:pPr>
      <w:r w:rsidRPr="008427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меняться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усилие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соприкосновения;</w:t>
      </w:r>
    </w:p>
    <w:p w14:paraId="52EEE811" w14:textId="77777777" w:rsidR="008427DA" w:rsidRDefault="008427DA" w:rsidP="008427DA">
      <w:pPr>
        <w:jc w:val="both"/>
        <w:rPr>
          <w:rFonts w:ascii="Times New Roman" w:hAnsi="Times New Roman" w:cs="Times New Roman"/>
          <w:sz w:val="24"/>
          <w:szCs w:val="24"/>
        </w:rPr>
      </w:pPr>
      <w:r w:rsidRPr="008427DA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кожа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сухой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влажной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(потливой);</w:t>
      </w:r>
    </w:p>
    <w:p w14:paraId="0D7C11C5" w14:textId="4A2D9D0D" w:rsidR="008427DA" w:rsidRDefault="008427DA" w:rsidP="008427DA">
      <w:pPr>
        <w:jc w:val="both"/>
        <w:rPr>
          <w:rFonts w:ascii="Times New Roman" w:hAnsi="Times New Roman" w:cs="Times New Roman"/>
          <w:sz w:val="24"/>
          <w:szCs w:val="24"/>
        </w:rPr>
      </w:pPr>
      <w:r w:rsidRPr="008427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научное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ожогового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порога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неточность;</w:t>
      </w:r>
    </w:p>
    <w:p w14:paraId="2F4FAD48" w14:textId="3249C70B" w:rsidR="008427DA" w:rsidRPr="008427DA" w:rsidRDefault="008427DA" w:rsidP="008427DA">
      <w:pPr>
        <w:jc w:val="both"/>
        <w:rPr>
          <w:rFonts w:ascii="Times New Roman" w:hAnsi="Times New Roman" w:cs="Times New Roman"/>
          <w:sz w:val="24"/>
          <w:szCs w:val="24"/>
        </w:rPr>
      </w:pPr>
      <w:r w:rsidRPr="008427DA">
        <w:rPr>
          <w:rFonts w:ascii="Times New Roman" w:hAnsi="Times New Roman" w:cs="Times New Roman"/>
          <w:sz w:val="24"/>
          <w:szCs w:val="24"/>
        </w:rPr>
        <w:t>- материалы со значительно различающейся теплопроводностью объединены для упрощения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пользования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одну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группу.</w:t>
      </w:r>
    </w:p>
    <w:p w14:paraId="11AE36E9" w14:textId="77777777" w:rsidR="008427DA" w:rsidRDefault="008427DA" w:rsidP="008427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7DA">
        <w:rPr>
          <w:rFonts w:ascii="Times New Roman" w:hAnsi="Times New Roman" w:cs="Times New Roman"/>
          <w:sz w:val="24"/>
          <w:szCs w:val="24"/>
        </w:rPr>
        <w:t>Все эти влияния приводят к недостоверности при точном определении ожогового порога, с учетом недостоверности значения ожогового порога на рисунках 2-6 выполнены не в виде линий, а в виде областей. Однако эти влияния малы в сравнении с влиянием теплопроводности материалов. Области ожоговых порогов малы в сравнении с различиями для разных групп материалов. Для длительных контактов значения ожоговых порогов более достоверны,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определены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настоящем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стандарте.</w:t>
      </w:r>
    </w:p>
    <w:p w14:paraId="19245F27" w14:textId="77777777" w:rsidR="008427DA" w:rsidRDefault="008427DA" w:rsidP="008427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7DA">
        <w:rPr>
          <w:rFonts w:ascii="Times New Roman" w:hAnsi="Times New Roman" w:cs="Times New Roman"/>
          <w:sz w:val="24"/>
          <w:szCs w:val="24"/>
        </w:rPr>
        <w:t>Поскольку настоящий стандарт распространяется только на поверхности машин, в основной его части ожоговые пороги для воды не приведены. При необходимости ожоговым порогом при контакте кожи с водой может являться нижний уровень в области, применяемой для металлов без покрытия согласно рисунку 2 и таблице 1.</w:t>
      </w:r>
    </w:p>
    <w:p w14:paraId="25CF61F2" w14:textId="77777777" w:rsidR="008427DA" w:rsidRDefault="008427DA" w:rsidP="008427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7DA">
        <w:rPr>
          <w:rFonts w:ascii="Times New Roman" w:hAnsi="Times New Roman" w:cs="Times New Roman"/>
          <w:sz w:val="24"/>
          <w:szCs w:val="24"/>
        </w:rPr>
        <w:t>Для материалов, не включенных в рисунки и таблицу 1, значения ожоговых порогов в отдельных случаях допускается определять в соответствии с 5.3.3. Это возможно, если известна теплопроводность материала. Наиболее важной величиной является тепловая инерция, зависящая от плотности, теплопроводности и теплоемкости [4]. Тепловая инерция может быть взята из таблиц (</w:t>
      </w:r>
      <w:proofErr w:type="gramStart"/>
      <w:r w:rsidRPr="008427D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8427DA">
        <w:rPr>
          <w:rFonts w:ascii="Times New Roman" w:hAnsi="Times New Roman" w:cs="Times New Roman"/>
          <w:sz w:val="24"/>
          <w:szCs w:val="24"/>
        </w:rPr>
        <w:t xml:space="preserve"> в приложении Е) или измерена. Если тепловая инерция значительно отличается от значений в 5.3.3, то определять ожоговый порог нельзя. В этих случаях рекомендуется использовать прибор </w:t>
      </w:r>
      <w:proofErr w:type="spellStart"/>
      <w:r w:rsidRPr="008427DA">
        <w:rPr>
          <w:rFonts w:ascii="Times New Roman" w:hAnsi="Times New Roman" w:cs="Times New Roman"/>
          <w:sz w:val="24"/>
          <w:szCs w:val="24"/>
        </w:rPr>
        <w:t>Thermesthesiometer</w:t>
      </w:r>
      <w:proofErr w:type="spellEnd"/>
      <w:r w:rsidRPr="008427DA">
        <w:rPr>
          <w:rFonts w:ascii="Times New Roman" w:hAnsi="Times New Roman" w:cs="Times New Roman"/>
          <w:sz w:val="24"/>
          <w:szCs w:val="24"/>
        </w:rPr>
        <w:t xml:space="preserve"> и метод, описанный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[6]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7DA">
        <w:rPr>
          <w:rFonts w:ascii="Times New Roman" w:hAnsi="Times New Roman" w:cs="Times New Roman"/>
          <w:sz w:val="24"/>
          <w:szCs w:val="24"/>
        </w:rPr>
        <w:t>[8].</w:t>
      </w:r>
    </w:p>
    <w:p w14:paraId="5620560E" w14:textId="46CC4712" w:rsidR="008427DA" w:rsidRPr="008427DA" w:rsidRDefault="008427DA" w:rsidP="008427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27DA">
        <w:rPr>
          <w:rFonts w:ascii="Times New Roman" w:hAnsi="Times New Roman" w:cs="Times New Roman"/>
          <w:sz w:val="24"/>
          <w:szCs w:val="24"/>
        </w:rPr>
        <w:t>Настоящий стандарт предназначен только для определения ожогового порога. В отдельных случаях необходимо определить также болевой порог, например при преднамеренном контакте кожи с горячей поверхностью. Значения болевого порога можно получить из [9].</w:t>
      </w:r>
    </w:p>
    <w:p w14:paraId="584547DF" w14:textId="77777777" w:rsidR="0069482A" w:rsidRPr="008427DA" w:rsidRDefault="008427DA">
      <w:pPr>
        <w:rPr>
          <w:rFonts w:ascii="Times New Roman" w:hAnsi="Times New Roman" w:cs="Times New Roman"/>
          <w:sz w:val="24"/>
          <w:szCs w:val="24"/>
        </w:rPr>
      </w:pPr>
    </w:p>
    <w:sectPr w:rsidR="0069482A" w:rsidRPr="0084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61"/>
    <w:rsid w:val="005606DE"/>
    <w:rsid w:val="008427DA"/>
    <w:rsid w:val="00B07F75"/>
    <w:rsid w:val="00E2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3FF3"/>
  <w15:chartTrackingRefBased/>
  <w15:docId w15:val="{F41FDE38-657C-448B-968A-E79B6A7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2021-05-05T13:20:00Z</dcterms:created>
  <dcterms:modified xsi:type="dcterms:W3CDTF">2021-05-05T13:25:00Z</dcterms:modified>
</cp:coreProperties>
</file>