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7C8F" w14:textId="77777777" w:rsidR="000B63CA" w:rsidRPr="000B63CA" w:rsidRDefault="000B63CA" w:rsidP="000B6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CA">
        <w:rPr>
          <w:rFonts w:ascii="Times New Roman" w:hAnsi="Times New Roman" w:cs="Times New Roman"/>
          <w:b/>
          <w:bCs/>
          <w:sz w:val="24"/>
          <w:szCs w:val="24"/>
        </w:rPr>
        <w:t>ПРИЛОЖЕНИЕ С</w:t>
      </w:r>
      <w:r w:rsidRPr="000B63CA">
        <w:rPr>
          <w:rFonts w:ascii="Times New Roman" w:hAnsi="Times New Roman" w:cs="Times New Roman"/>
          <w:b/>
          <w:bCs/>
          <w:sz w:val="24"/>
          <w:szCs w:val="24"/>
        </w:rPr>
        <w:br/>
        <w:t>(справочное)</w:t>
      </w:r>
    </w:p>
    <w:p w14:paraId="64545E80" w14:textId="77777777" w:rsidR="000B63CA" w:rsidRPr="000B63CA" w:rsidRDefault="000B63CA" w:rsidP="000B6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CA">
        <w:rPr>
          <w:rFonts w:ascii="Times New Roman" w:hAnsi="Times New Roman" w:cs="Times New Roman"/>
          <w:b/>
          <w:bCs/>
          <w:sz w:val="24"/>
          <w:szCs w:val="24"/>
        </w:rPr>
        <w:t>Меры защиты</w:t>
      </w:r>
    </w:p>
    <w:p w14:paraId="13BA4B90" w14:textId="103AB585" w:rsidR="000B63CA" w:rsidRPr="000B63CA" w:rsidRDefault="000B63CA" w:rsidP="006C624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63CA">
        <w:rPr>
          <w:rFonts w:ascii="Times New Roman" w:hAnsi="Times New Roman" w:cs="Times New Roman"/>
          <w:sz w:val="24"/>
          <w:szCs w:val="24"/>
        </w:rPr>
        <w:t>C.1 Меры защиты от ожогов</w:t>
      </w:r>
    </w:p>
    <w:p w14:paraId="161F5B00" w14:textId="77777777" w:rsidR="000B63CA" w:rsidRDefault="000B63CA" w:rsidP="000B63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В соответствии с критериями, данными в разделе 6, могут быть приняты следующие меры как одиночные, так и в комбинации.</w:t>
      </w:r>
    </w:p>
    <w:p w14:paraId="10E9DFA7" w14:textId="77777777" w:rsidR="000B63CA" w:rsidRDefault="000B63CA" w:rsidP="000B63CA">
      <w:pPr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Конструктивные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меры:</w:t>
      </w:r>
    </w:p>
    <w:p w14:paraId="5735B581" w14:textId="77777777" w:rsidR="000B63CA" w:rsidRDefault="000B63CA" w:rsidP="000B63CA">
      <w:pPr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температуры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поверхности;</w:t>
      </w:r>
    </w:p>
    <w:p w14:paraId="30CFB607" w14:textId="77777777" w:rsidR="000B63CA" w:rsidRDefault="000B63CA" w:rsidP="000B63CA">
      <w:pPr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изоляция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63C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дерева,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пробки,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фибры);</w:t>
      </w:r>
    </w:p>
    <w:p w14:paraId="7603DBC7" w14:textId="77777777" w:rsidR="000B63CA" w:rsidRDefault="000B63CA" w:rsidP="000B63CA">
      <w:pPr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ограждение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(экран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барьер);</w:t>
      </w:r>
    </w:p>
    <w:p w14:paraId="0CB97521" w14:textId="77777777" w:rsidR="000B63CA" w:rsidRDefault="000B63CA" w:rsidP="000B63CA">
      <w:pPr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конфигурирование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поверхности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(придание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шероховатости,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ребер).</w:t>
      </w:r>
    </w:p>
    <w:p w14:paraId="5DEA3453" w14:textId="77777777" w:rsidR="000B63CA" w:rsidRDefault="000B63CA" w:rsidP="000B63CA">
      <w:pPr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63CA">
        <w:rPr>
          <w:rFonts w:ascii="Times New Roman" w:hAnsi="Times New Roman" w:cs="Times New Roman"/>
          <w:sz w:val="24"/>
          <w:szCs w:val="24"/>
        </w:rPr>
        <w:t>меры:</w:t>
      </w:r>
    </w:p>
    <w:p w14:paraId="52E7B6E8" w14:textId="77777777" w:rsidR="000B63CA" w:rsidRDefault="000B63CA" w:rsidP="000B63CA">
      <w:pPr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- предупредительные (предупредительные сигналы, индикация и звуковые сигналы тревоги);</w:t>
      </w:r>
    </w:p>
    <w:p w14:paraId="1B8CF95A" w14:textId="77777777" w:rsidR="000B63CA" w:rsidRDefault="000B63CA" w:rsidP="000B63CA">
      <w:pPr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- инструктаж, обучение;</w:t>
      </w:r>
    </w:p>
    <w:p w14:paraId="0FED2EA5" w14:textId="77777777" w:rsidR="000B63CA" w:rsidRDefault="000B63CA" w:rsidP="000B63CA">
      <w:pPr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- техническая документация, инструкции пользователю.</w:t>
      </w:r>
    </w:p>
    <w:p w14:paraId="4FF8CA68" w14:textId="77777777" w:rsidR="000B63CA" w:rsidRDefault="000B63CA" w:rsidP="000B63CA">
      <w:pPr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c) Меры персональной защиты:</w:t>
      </w:r>
    </w:p>
    <w:p w14:paraId="02EB218E" w14:textId="77777777" w:rsidR="000B63CA" w:rsidRDefault="000B63CA" w:rsidP="000B63CA">
      <w:pPr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- индивидуальное защитное снаряжение.</w:t>
      </w:r>
    </w:p>
    <w:p w14:paraId="40AAC5BE" w14:textId="77777777" w:rsidR="000B63CA" w:rsidRDefault="000B63CA" w:rsidP="000B63CA">
      <w:pPr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Предпочтительны конструктивные меры.</w:t>
      </w:r>
    </w:p>
    <w:p w14:paraId="5807E611" w14:textId="77777777" w:rsidR="000B63CA" w:rsidRDefault="000B63CA" w:rsidP="000B63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C.2 Примеры защитных мер</w:t>
      </w:r>
    </w:p>
    <w:p w14:paraId="230BA160" w14:textId="77777777" w:rsidR="000B63CA" w:rsidRDefault="000B63CA" w:rsidP="000B63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Защитные меры для ручного инструмента с двигателем внутреннего сгорания</w:t>
      </w:r>
    </w:p>
    <w:p w14:paraId="482F7170" w14:textId="77777777" w:rsidR="000B63CA" w:rsidRDefault="000B63CA" w:rsidP="000B63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Ручной инструмент с двигателем внутреннего сгорания выбран для демонстрации различных требований к защитным мерам против риска ожога. Имеются три зоны ручного инструмента, для которых возможны или необходимы защитные меры: цилиндр и глушитель, рукоятки и передача.</w:t>
      </w:r>
    </w:p>
    <w:p w14:paraId="1845040B" w14:textId="77777777" w:rsidR="000B63CA" w:rsidRDefault="000B63CA" w:rsidP="000B63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Цилиндр и глушитель</w:t>
      </w:r>
    </w:p>
    <w:p w14:paraId="7BAB58B4" w14:textId="77777777" w:rsidR="000B63CA" w:rsidRDefault="000B63CA" w:rsidP="000B63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 xml:space="preserve">Во время сгорания значительная часть тепловой энергии передается на поверхность цилиндра. Она должна быть рассеяна воздушным охлаждением. Аналогично выхлопные </w:t>
      </w:r>
      <w:proofErr w:type="spellStart"/>
      <w:r w:rsidRPr="000B63CA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0B63CA">
        <w:rPr>
          <w:rFonts w:ascii="Times New Roman" w:hAnsi="Times New Roman" w:cs="Times New Roman"/>
          <w:sz w:val="24"/>
          <w:szCs w:val="24"/>
        </w:rPr>
        <w:t xml:space="preserve"> нагревают глушитель до температур, значительно превышающих ожоговый порог. Меры против возможного риска ожога: соответствующее расположение глушителя дальше от зоны прямого действия оператора и/или ограждение вокруг цилиндра и глушителя, исключающее прямой контакт между оператором и горячей поверхностью цилиндра и глушителя.</w:t>
      </w:r>
    </w:p>
    <w:p w14:paraId="72BFFD2A" w14:textId="77777777" w:rsidR="000B63CA" w:rsidRDefault="000B63CA" w:rsidP="000B63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Рукоятки</w:t>
      </w:r>
    </w:p>
    <w:p w14:paraId="37DBDD62" w14:textId="77777777" w:rsidR="000B63CA" w:rsidRDefault="000B63CA" w:rsidP="000B63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 xml:space="preserve">Контакт с рукоятками является предусмотренным, поэтому температура рукоятки должна быть такой низкой, чтобы исключить ожог при продолжительном контакте с рукой. Кроме того, температура поверхности рукоятки должна быть ниже болевого порога. Для </w:t>
      </w:r>
      <w:r w:rsidRPr="000B63CA">
        <w:rPr>
          <w:rFonts w:ascii="Times New Roman" w:hAnsi="Times New Roman" w:cs="Times New Roman"/>
          <w:sz w:val="24"/>
          <w:szCs w:val="24"/>
        </w:rPr>
        <w:lastRenderedPageBreak/>
        <w:t>этой цели должны быть предусмотрены технические мероприятия. Технические мероприятия могут включать изоляцию рукоятки от машины и использование материалов с высоким ожоговым порогом, таких как пластики, дерево и т.д. (4.2).</w:t>
      </w:r>
    </w:p>
    <w:p w14:paraId="44EA52C6" w14:textId="77777777" w:rsidR="000B63CA" w:rsidRDefault="000B63CA" w:rsidP="000B63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Передача</w:t>
      </w:r>
    </w:p>
    <w:p w14:paraId="1B6EDDB2" w14:textId="77777777" w:rsidR="000B63CA" w:rsidRDefault="000B63CA" w:rsidP="000B63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Определение мер защиты механической передачи значительно сложнее по сравнению с рукоятками и горячим цилиндром или глушителем. Верхнее значение температур этих горячих поверхностей против рукояток должно быть проверено особенно внимательно. Риск случайного контакта с этими поверхностями более вероятен, чем риск контакта с другой поверхностью.</w:t>
      </w:r>
    </w:p>
    <w:p w14:paraId="2543A7B4" w14:textId="073BAE3D" w:rsidR="0069482A" w:rsidRPr="000B63CA" w:rsidRDefault="000B63CA" w:rsidP="000B63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3CA">
        <w:rPr>
          <w:rFonts w:ascii="Times New Roman" w:hAnsi="Times New Roman" w:cs="Times New Roman"/>
          <w:sz w:val="24"/>
          <w:szCs w:val="24"/>
        </w:rPr>
        <w:t>Одной из мер защиты является снижение возможности случайного контакта с верхней частью передачи. Она может быть дополнена соответствующими расстоянием между рукояткой и наружной поверхностью горячих деталей или установкой ограждения, исключающего случайный контакт. Дальнейшие меры против риска ожога могут быть необходимы в случае превышения температуры ограждения по сравнению с данными 4.2. В этом случае ограждение должно быть сконструировано с пониженной теплопроводностью. Это может быть достигнуто с помощью ребер или кожуха.</w:t>
      </w:r>
    </w:p>
    <w:sectPr w:rsidR="0069482A" w:rsidRPr="000B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20"/>
    <w:rsid w:val="000B63CA"/>
    <w:rsid w:val="005606DE"/>
    <w:rsid w:val="006C624F"/>
    <w:rsid w:val="00852D20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8388"/>
  <w15:chartTrackingRefBased/>
  <w15:docId w15:val="{EEFBB124-E9FC-4FB8-98ED-C65FDBF2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2021-05-05T13:26:00Z</dcterms:created>
  <dcterms:modified xsi:type="dcterms:W3CDTF">2021-05-05T13:29:00Z</dcterms:modified>
</cp:coreProperties>
</file>