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3A0271"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 радиофармацевтических лекарственных средств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Производство радиофармацевтических лекарственных средств должно быть организовано в соответствии с принципами, приведенными в главах III-IV настоящих Правил. Настоящее Приложение устанавливает специальные правила для производства радиофармацевтических лекарственных средств.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При применении настоящих Правил необходимо учитывать следующее: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данное Приложение не распространятся на изготовление радиофармацевтических лекарственных средств в аптечных организациях и ветеринарных аптечных организациях;</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настоящее Приложение распространяется также на радиофармацевтические лекарственные средства, использующиеся в клинических исследованиях;</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транспортировка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требованиями нормативных правовых актов Донецкой Народной Республики;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г) допускается использовать методы, отличающиеся от </w:t>
      </w:r>
      <w:proofErr w:type="gramStart"/>
      <w:r w:rsidRPr="003A0271">
        <w:rPr>
          <w:rFonts w:ascii="Times New Roman" w:hAnsi="Times New Roman" w:cs="Times New Roman"/>
          <w:sz w:val="28"/>
          <w:szCs w:val="28"/>
          <w:lang w:eastAsia="ru-RU"/>
        </w:rPr>
        <w:t>приведенных</w:t>
      </w:r>
      <w:proofErr w:type="gramEnd"/>
      <w:r w:rsidRPr="003A0271">
        <w:rPr>
          <w:rFonts w:ascii="Times New Roman" w:hAnsi="Times New Roman" w:cs="Times New Roman"/>
          <w:sz w:val="28"/>
          <w:szCs w:val="28"/>
          <w:lang w:eastAsia="ru-RU"/>
        </w:rPr>
        <w:t xml:space="preserve"> в настоящем Приложении, но позволяющие выполнять требования по обеспечению качества продукции. Такие методы должны быть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 xml:space="preserve"> и обеспечивать уровень качества, не ниже, чем уровень качества в соответствии с требованиями, установленными настоящим Приложением.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Введение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ионизирующего излучения, энергии излучения и периода полураспада радионуклидов. Особое внимание необходимо уделять предотвращению перекрестной контаминации, хранению остатков радиоактивных материалов и удалению отходов.</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 (2) Вследствие того, что некоторые радионуклиды имеют 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четко и подробно определен порядок выдачи разрешения на выпуск, включая ответственность персонала и непрерывную оценку эффективности системы обеспечения качества.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 (3) Областью применения настоящего Приложения является деятельность промышленных производств, ядерных центров, институтов и ПЭТ-центров по производству и контролю качества следующих типов продукции: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радиофармацевтических лекарственных средств;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радиофармацевтических лекарственных сре</w:t>
      </w:r>
      <w:proofErr w:type="gramStart"/>
      <w:r w:rsidRPr="003A0271">
        <w:rPr>
          <w:rFonts w:ascii="Times New Roman" w:hAnsi="Times New Roman" w:cs="Times New Roman"/>
          <w:sz w:val="28"/>
          <w:szCs w:val="28"/>
          <w:lang w:eastAsia="ru-RU"/>
        </w:rPr>
        <w:t>дств дл</w:t>
      </w:r>
      <w:proofErr w:type="gramEnd"/>
      <w:r w:rsidRPr="003A0271">
        <w:rPr>
          <w:rFonts w:ascii="Times New Roman" w:hAnsi="Times New Roman" w:cs="Times New Roman"/>
          <w:sz w:val="28"/>
          <w:szCs w:val="28"/>
          <w:lang w:eastAsia="ru-RU"/>
        </w:rPr>
        <w:t>я ПЭТ (позитронно-эмиссионной томографии);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радиоактивных предшественников для производства радиофармацевтических лекарственных средств; </w:t>
      </w:r>
      <w:proofErr w:type="spellStart"/>
      <w:r w:rsidRPr="003A0271">
        <w:rPr>
          <w:rFonts w:ascii="Times New Roman" w:hAnsi="Times New Roman" w:cs="Times New Roman"/>
          <w:sz w:val="28"/>
          <w:szCs w:val="28"/>
          <w:lang w:eastAsia="ru-RU"/>
        </w:rPr>
        <w:t>радионуклидных</w:t>
      </w:r>
      <w:proofErr w:type="spellEnd"/>
      <w:r w:rsidRPr="003A0271">
        <w:rPr>
          <w:rFonts w:ascii="Times New Roman" w:hAnsi="Times New Roman" w:cs="Times New Roman"/>
          <w:sz w:val="28"/>
          <w:szCs w:val="28"/>
          <w:lang w:eastAsia="ru-RU"/>
        </w:rPr>
        <w:t xml:space="preserve"> генераторов.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675"/>
        <w:gridCol w:w="1506"/>
        <w:gridCol w:w="1058"/>
        <w:gridCol w:w="1800"/>
        <w:gridCol w:w="1641"/>
      </w:tblGrid>
      <w:tr w:rsidR="00C166B5" w:rsidRPr="003A0271" w:rsidTr="009335D5">
        <w:trPr>
          <w:trHeight w:val="1277"/>
        </w:trPr>
        <w:tc>
          <w:tcPr>
            <w:tcW w:w="2209"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Вид производства</w:t>
            </w:r>
          </w:p>
        </w:tc>
        <w:tc>
          <w:tcPr>
            <w:tcW w:w="1675"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 xml:space="preserve">Настоящие правила не </w:t>
            </w:r>
            <w:proofErr w:type="spellStart"/>
            <w:proofErr w:type="gramStart"/>
            <w:r w:rsidRPr="003A0271">
              <w:rPr>
                <w:rFonts w:ascii="Times New Roman" w:hAnsi="Times New Roman" w:cs="Times New Roman"/>
                <w:sz w:val="24"/>
                <w:szCs w:val="24"/>
                <w:lang w:eastAsia="ru-RU"/>
              </w:rPr>
              <w:t>распространя-ются</w:t>
            </w:r>
            <w:proofErr w:type="spellEnd"/>
            <w:proofErr w:type="gramEnd"/>
            <w:r w:rsidRPr="003A0271">
              <w:rPr>
                <w:rFonts w:ascii="Times New Roman" w:hAnsi="Times New Roman" w:cs="Times New Roman"/>
                <w:sz w:val="24"/>
                <w:szCs w:val="24"/>
                <w:lang w:eastAsia="ru-RU"/>
              </w:rPr>
              <w:t>*</w:t>
            </w:r>
          </w:p>
        </w:tc>
        <w:tc>
          <w:tcPr>
            <w:tcW w:w="6005" w:type="dxa"/>
            <w:gridSpan w:val="4"/>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Необходимо выполнять требования глав III-IV настоящих Правил (по мере приближения стадии производства к готовому продукту требования усиливаются), включая соответствующие Приложения</w:t>
            </w:r>
          </w:p>
        </w:tc>
      </w:tr>
      <w:tr w:rsidR="00C166B5" w:rsidRPr="003A0271" w:rsidTr="009335D5">
        <w:trPr>
          <w:trHeight w:val="2921"/>
        </w:trPr>
        <w:tc>
          <w:tcPr>
            <w:tcW w:w="2209"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roofErr w:type="spellStart"/>
            <w:r w:rsidRPr="003A0271">
              <w:rPr>
                <w:rFonts w:ascii="Times New Roman" w:hAnsi="Times New Roman" w:cs="Times New Roman"/>
                <w:sz w:val="24"/>
                <w:szCs w:val="24"/>
                <w:lang w:eastAsia="ru-RU"/>
              </w:rPr>
              <w:t>Радиофармацев-тические</w:t>
            </w:r>
            <w:proofErr w:type="spellEnd"/>
            <w:r w:rsidRPr="003A0271">
              <w:rPr>
                <w:rFonts w:ascii="Times New Roman" w:hAnsi="Times New Roman" w:cs="Times New Roman"/>
                <w:sz w:val="24"/>
                <w:szCs w:val="24"/>
                <w:lang w:eastAsia="ru-RU"/>
              </w:rPr>
              <w:t xml:space="preserve"> лекарственные средства </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roofErr w:type="spellStart"/>
            <w:r w:rsidRPr="003A0271">
              <w:rPr>
                <w:rFonts w:ascii="Times New Roman" w:hAnsi="Times New Roman" w:cs="Times New Roman"/>
                <w:sz w:val="24"/>
                <w:szCs w:val="24"/>
                <w:lang w:eastAsia="ru-RU"/>
              </w:rPr>
              <w:t>Радиофармацев-тические</w:t>
            </w:r>
            <w:proofErr w:type="spellEnd"/>
            <w:r w:rsidRPr="003A0271">
              <w:rPr>
                <w:rFonts w:ascii="Times New Roman" w:hAnsi="Times New Roman" w:cs="Times New Roman"/>
                <w:sz w:val="24"/>
                <w:szCs w:val="24"/>
                <w:lang w:eastAsia="ru-RU"/>
              </w:rPr>
              <w:t xml:space="preserve"> лекарственные средства для ПЭТ</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Радиоактивные предшественники</w:t>
            </w:r>
          </w:p>
        </w:tc>
        <w:tc>
          <w:tcPr>
            <w:tcW w:w="1675"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Продукция реакторов и циклотронов (1)</w:t>
            </w:r>
          </w:p>
        </w:tc>
        <w:tc>
          <w:tcPr>
            <w:tcW w:w="1506"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Химический синтез</w:t>
            </w:r>
          </w:p>
        </w:tc>
        <w:tc>
          <w:tcPr>
            <w:tcW w:w="1058"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Стадии очистки</w:t>
            </w:r>
          </w:p>
        </w:tc>
        <w:tc>
          <w:tcPr>
            <w:tcW w:w="1800"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Обработка, приготовление, дозирование</w:t>
            </w:r>
          </w:p>
        </w:tc>
        <w:tc>
          <w:tcPr>
            <w:tcW w:w="1641"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Асептическое производство или финишная стерилизация</w:t>
            </w:r>
          </w:p>
        </w:tc>
      </w:tr>
      <w:tr w:rsidR="00C166B5" w:rsidRPr="003A0271" w:rsidTr="009335D5">
        <w:trPr>
          <w:trHeight w:val="1666"/>
        </w:trPr>
        <w:tc>
          <w:tcPr>
            <w:tcW w:w="2209"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roofErr w:type="spellStart"/>
            <w:r w:rsidRPr="003A0271">
              <w:rPr>
                <w:rFonts w:ascii="Times New Roman" w:hAnsi="Times New Roman" w:cs="Times New Roman"/>
                <w:sz w:val="24"/>
                <w:szCs w:val="24"/>
                <w:lang w:eastAsia="ru-RU"/>
              </w:rPr>
              <w:t>Радионуклидные</w:t>
            </w:r>
            <w:proofErr w:type="spellEnd"/>
            <w:r w:rsidRPr="003A0271">
              <w:rPr>
                <w:rFonts w:ascii="Times New Roman" w:hAnsi="Times New Roman" w:cs="Times New Roman"/>
                <w:sz w:val="24"/>
                <w:szCs w:val="24"/>
                <w:lang w:eastAsia="ru-RU"/>
              </w:rPr>
              <w:t xml:space="preserve"> генераторы</w:t>
            </w:r>
          </w:p>
        </w:tc>
        <w:tc>
          <w:tcPr>
            <w:tcW w:w="1675" w:type="dxa"/>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Продукция реакторов и циклотронов (2)</w:t>
            </w:r>
          </w:p>
        </w:tc>
        <w:tc>
          <w:tcPr>
            <w:tcW w:w="6005" w:type="dxa"/>
            <w:gridSpan w:val="4"/>
          </w:tcPr>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3A0271">
              <w:rPr>
                <w:rFonts w:ascii="Times New Roman" w:hAnsi="Times New Roman" w:cs="Times New Roman"/>
                <w:sz w:val="24"/>
                <w:szCs w:val="24"/>
                <w:lang w:eastAsia="ru-RU"/>
              </w:rPr>
              <w:t>Технологический процесс (сборка колонки, генератора, зарядка генератора)</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Мишень и система передачи от циклотрона к установке синтеза могут рассматриваться как первая стадия производства фармацевтических субстанций.</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 Продукция, полученная в результате радиохимического выделения радионуклида из облученной радиоактивной мишени;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 Продукция, полученная в результате радиохимического выделения материнского радионуклида из облученной радиоактивной мишени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 (4) Производитель готового радиофармацевтического лекарственного средства должен иметь описание технологического процесса производства фармацевтической субстанции, готового лекарственного средства и указать, какие требования настоящих Правил (глава III или глава IV настоящих Правил) распространяются на различные технологические операции и (или) стадии.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(5) Производство радиофармацевтических лекарственных средств должно выполняться в соответствии с требованиями норм радиационной безопасности.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 (6) Производство радиофармацевтических лекарственных средств, предназначенных для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Приложением 1 к настоящим Правилам.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 (7) Спецификации и методы контроля качества радиофармацевтических лекарственных средств установлены в действующей фармакопее или в регистрационных досье на эти лекарственные средства.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Клинические исследования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(8) На производство радиофармацевтических лекарственных средств, предназначенных для клинических исследований, распространяются также требования Приложения 13 к настоящим Правилам.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Обеспечение качества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некоторых случаях необходимости их медицинского применения до завершения операций по контролю качества.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(10) Защита продукции от контаминации и перекрестной контаминации должна быть обеспечена так же, как и при производстве любых лекарственных средств. В данном случае предъявляется дополнительное требование по защите производственной среды и персонала от ионизирующего излучения.</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(11) Большое значение имеет надлежащая регистрация данных мониторинга помещений и процессов. Оценка этих данных является частью процесса выпуска серии в обращение.</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(12) При производстве радиофармацевтических лекарственных сре</w:t>
      </w:r>
      <w:proofErr w:type="gramStart"/>
      <w:r w:rsidRPr="003A0271">
        <w:rPr>
          <w:rFonts w:ascii="Times New Roman" w:hAnsi="Times New Roman" w:cs="Times New Roman"/>
          <w:sz w:val="28"/>
          <w:szCs w:val="28"/>
          <w:lang w:eastAsia="ru-RU"/>
        </w:rPr>
        <w:t>дств сл</w:t>
      </w:r>
      <w:proofErr w:type="gramEnd"/>
      <w:r w:rsidRPr="003A0271">
        <w:rPr>
          <w:rFonts w:ascii="Times New Roman" w:hAnsi="Times New Roman" w:cs="Times New Roman"/>
          <w:sz w:val="28"/>
          <w:szCs w:val="28"/>
          <w:lang w:eastAsia="ru-RU"/>
        </w:rPr>
        <w:t xml:space="preserve">едует в необходимом объеме проводить квалификацию 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Для определения объема работ по квалификации 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должен применяться подход, основанный на управлении рисками, с особым вниманием к комбинации требований настоящих Правил и радиационной безопасности.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Персонал</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обучение, связанное с особенностями системы обеспечения качества радиофармацевтических лекарственных средств. Уполномоченное лицо является ответственным за выпуск радиофармацевтических лекарственных средств.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(14) Персонал, работающий в зонах производства радиофармацевтических лекарственных средств (включая персонал, занятый уборкой и техническим обслуживанием), должен пройти дополнительное обучение, связанное со спецификой процессов и продукции.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(15) Если производственные помещения и оборудование используются также для проведения исследований, то персонал, участвующий в исследованиях, должен пройти обучение настоящим Правилам. Действия по обеспечению качества заключаются в рассмотрении и выдаче разрешения на проведение работ, связанных с исследованиями, для того чтобы исключить их опасное влияние на производство.</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Помещения и оборудование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Общие положения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(16) Производство радиофармацевтических лекарственных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специальных помещениях и на специальном оборудовании, которые предназначены для производства радиофармацевтических лекарственных средств.</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19. (17) Необходимо принять меры по предотвращению перекрестной контаминации от персонала, исходного сырья, материалов, радионуклидов. Там, где </w:t>
      </w:r>
      <w:proofErr w:type="gramStart"/>
      <w:r w:rsidRPr="003A0271">
        <w:rPr>
          <w:rFonts w:ascii="Times New Roman" w:hAnsi="Times New Roman" w:cs="Times New Roman"/>
          <w:sz w:val="28"/>
          <w:szCs w:val="28"/>
          <w:lang w:eastAsia="ru-RU"/>
        </w:rPr>
        <w:t>это</w:t>
      </w:r>
      <w:proofErr w:type="gramEnd"/>
      <w:r w:rsidRPr="003A0271">
        <w:rPr>
          <w:rFonts w:ascii="Times New Roman" w:hAnsi="Times New Roman" w:cs="Times New Roman"/>
          <w:sz w:val="28"/>
          <w:szCs w:val="28"/>
          <w:lang w:eastAsia="ru-RU"/>
        </w:rPr>
        <w:t xml:space="preserve"> возможно, необходимо использовать закрытое или </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изолированное оборудование. При использовании оборудования открытого типа или при открывании оборудования должны быть приняты меры по сведению риска контаминации к минимуму. При оценке рисков необходимо показать, что чистота производственной среды удовлетворяет требованиям, предъявляемым к типу выпускаемой продукции. </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20. (18) Вход в производственные зоны должен осуществляться через комнаты для переодевания (санпропускники) и должен быть разрешен только для персонала, имеющего право доступа в них.</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(19) Необходимо проводить 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22. (20) Для гарантии того, что используемые помещения и оборудование соответствуют предъявляемым к ним требованиям и прошли квалификацию, необходимо проводить профилактическое техническое обслуживание, калибровку и квалификацию. Такие работы должны выполняться подготовленным персоналом, а факт их проведения и полученные результаты должны оформляться документально.</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23. (21) Необходимо принимать меры по защите производственной зоны от радиоактивного загрязнения. Должен быть организован надлежащий контроль радиоактивных загрязнений прямым методом с помощью дозиметров или косвенно - методом мазков в установленном порядке.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24. (22)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радиофармацевтического лекарственного средства.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26. (24) Для того, чтобы не допустить распространения радиоактивных частиц, в зонах, где находится открытый продукт, необходимо поддерживать отрицательное давление по отношению к окружающим зонам. В то же время продукт должен быть защищен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 стерильной продукции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(25) Стерильные радиофармацевтические лекарственные средства разделяются на две группы: лекарственные препараты, выпускаемые в асептических условиях,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установленные Приложением 1 к настоящим Правилам требования к чистоте рабочих зон, в которых продукция или первичная упаковка может находиться в контакте с окружающим воздухом.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(26) Для определения требований к перепадам давления, направлению потока воздуха и его качества могут использоваться методы оценки рисков.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(27) В закрытых автоматизированных системах, представляющих собой, как правило, горячие камеры с размещением в них установок химического синтеза, систем очистки, стерилизующей фильтрации "на линии", достаточно обеспечить класс чистоты С.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зоне класса 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30. (28)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Документация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31. (29) Все документы, касающиеся производства радиофармацевтических лекарственных средств, должны разрабатываться, согласовываться, утверждаться и распределяться в соответствии с утвержденной процедурой.</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(30) Требования к исходному сырью, упаковочным материалам, материалам для маркировки, критической промежуточной продукции и готовым радиофармацевтическим лекарственным средствам должны быть указаны в спецификациях. Должны быть также спецификации на критические материалы и компоненты (в частности, на вспомогательные материалы, уплотнения, наборы для стерилизующей фильтрации), используемые в процессе производства и способные оказать критическое влияние на качество продукции.</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33. (31) Для радиофармацевтических лекарственных средств необходимо установить критерии приемлемости, включая спецификации </w:t>
      </w:r>
      <w:proofErr w:type="gramStart"/>
      <w:r w:rsidRPr="003A0271">
        <w:rPr>
          <w:rFonts w:ascii="Times New Roman" w:hAnsi="Times New Roman" w:cs="Times New Roman"/>
          <w:sz w:val="28"/>
          <w:szCs w:val="28"/>
          <w:lang w:eastAsia="ru-RU"/>
        </w:rPr>
        <w:t>на</w:t>
      </w:r>
      <w:proofErr w:type="gramEnd"/>
      <w:r w:rsidRPr="003A0271">
        <w:rPr>
          <w:rFonts w:ascii="Times New Roman" w:hAnsi="Times New Roman" w:cs="Times New Roman"/>
          <w:sz w:val="28"/>
          <w:szCs w:val="28"/>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момент выпуска и на период срока годности (например, для радиохимической чистоты, объемной активности, </w:t>
      </w:r>
      <w:proofErr w:type="spellStart"/>
      <w:r w:rsidRPr="003A0271">
        <w:rPr>
          <w:rFonts w:ascii="Times New Roman" w:hAnsi="Times New Roman" w:cs="Times New Roman"/>
          <w:sz w:val="28"/>
          <w:szCs w:val="28"/>
          <w:lang w:eastAsia="ru-RU"/>
        </w:rPr>
        <w:t>радионуклидной</w:t>
      </w:r>
      <w:proofErr w:type="spellEnd"/>
      <w:r w:rsidRPr="003A0271">
        <w:rPr>
          <w:rFonts w:ascii="Times New Roman" w:hAnsi="Times New Roman" w:cs="Times New Roman"/>
          <w:sz w:val="28"/>
          <w:szCs w:val="28"/>
          <w:lang w:eastAsia="ru-RU"/>
        </w:rPr>
        <w:t xml:space="preserve"> чистоты и удельной активности).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34. (32) В записях по использованию, очистке, дезактивации или стерилизации, техническому обслуживанию основного оборудования должны быть указаны дата и время выполнения операции, проставлена подпись лица, выполнившего работу, а при необходимости также указываются наименование продукции и номер серии.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35. (33) Записи необходимо хранить в течение не менее трех лет, если нормативными правовыми актами Донецкой Народной Республики не установлен иной срок хранения.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Производство</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36. (34) Одновременное производство различных радиофармацевтических лекарственных средств в одной рабочей зоне (горячей камере, ламинарной зоне или шкафу) не допускается с целью сведения к минимуму риска перекрестного загрязнения радиоактивными веществами или перепутывания материалов.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(35) Особое внимание необходимо уделять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включая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компьютеризированных систем в соответствии с Приложением 11 к настоящим Правилам. Новые процессы должны пройти </w:t>
      </w:r>
      <w:proofErr w:type="gramStart"/>
      <w:r w:rsidRPr="003A0271">
        <w:rPr>
          <w:rFonts w:ascii="Times New Roman" w:hAnsi="Times New Roman" w:cs="Times New Roman"/>
          <w:sz w:val="28"/>
          <w:szCs w:val="28"/>
          <w:lang w:eastAsia="ru-RU"/>
        </w:rPr>
        <w:t>перспективную</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38. (36) Критические параметры должны быть определены </w:t>
      </w:r>
      <w:proofErr w:type="gramStart"/>
      <w:r w:rsidRPr="003A0271">
        <w:rPr>
          <w:rFonts w:ascii="Times New Roman" w:hAnsi="Times New Roman" w:cs="Times New Roman"/>
          <w:sz w:val="28"/>
          <w:szCs w:val="28"/>
          <w:lang w:eastAsia="ru-RU"/>
        </w:rPr>
        <w:t>до</w:t>
      </w:r>
      <w:proofErr w:type="gramEnd"/>
      <w:r w:rsidRPr="003A0271">
        <w:rPr>
          <w:rFonts w:ascii="Times New Roman" w:hAnsi="Times New Roman" w:cs="Times New Roman"/>
          <w:sz w:val="28"/>
          <w:szCs w:val="28"/>
          <w:lang w:eastAsia="ru-RU"/>
        </w:rPr>
        <w:t xml:space="preserve"> или </w:t>
      </w:r>
      <w:proofErr w:type="gramStart"/>
      <w:r w:rsidRPr="003A0271">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r w:rsidRPr="003A0271">
        <w:rPr>
          <w:rFonts w:ascii="Times New Roman" w:hAnsi="Times New Roman" w:cs="Times New Roman"/>
          <w:sz w:val="28"/>
          <w:szCs w:val="28"/>
          <w:lang w:eastAsia="ru-RU"/>
        </w:rPr>
        <w:t xml:space="preserve">процессе проведения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При этом следует определять допустимые предельные значения изменений параметров, необходимые для стабильного производства.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39. (37) Для продуктов, наполняемых в асептических условиях, должен проводиться контроль целостности мембранных фильтров, принимая во внимание необходимость обеспечения радиационной безопасности и сохранения стерильности фильтров.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40. (38) Учитывая радиационную активность готовой продукции, допускается наносить маркировку на первичную упаковку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флаконов.</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Контроль качества</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41. (39)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42. Оформление разрешения на выпуск радиофармацевтических лекарственных средств может быть выполнено в два и более этапа до и после завершения аналитического контроля в полном объеме: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а) (а) оценка уполномоченным лицом досье производства серии, которое должно охватывать условия производства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roofErr w:type="gramEnd"/>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уполномоченное лицо выдает разрешение на выпуск после проведения оценки окончательных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43. (40) Большинство радиофармацевтических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срок годности лекарственного средства должен быть четко указан. </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44. (41) Радиофармацевтические лекарственные средства, содержащие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45. (42) Контроль проб может быть проведен не сразу после их отбора, чтобы обеспечить требуемое снижение уровня активности. Все виды контроля, включая контроль на стерильность, должны проводиться как можно быстрее.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46. (43) Утвержденная производителем процедура должна устанавливать порядок оценки продукции и результатов контроля до отправки продукции.</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47. (44)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продукция должна соответствовать установленным требованиям,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48. (45) В специальной процедуре должен быть определен порядок действий уполномоченного лица в случае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подобных ситуаций в будущем. Этот процесс должен быть документально оформлен.</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49. (46) При необходимости производитель должен информировать ответственный персонал медицинской организации. Для содействия этому должна быть обеспечена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в отношении радиофармацевтических лекарственных средств.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50. (47)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Контрольные и архивные образцы</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51. (48) От каждой серии </w:t>
      </w:r>
      <w:proofErr w:type="spellStart"/>
      <w:r w:rsidRPr="003A0271">
        <w:rPr>
          <w:rFonts w:ascii="Times New Roman" w:hAnsi="Times New Roman" w:cs="Times New Roman"/>
          <w:sz w:val="28"/>
          <w:szCs w:val="28"/>
          <w:lang w:eastAsia="ru-RU"/>
        </w:rPr>
        <w:t>нерасфасованных</w:t>
      </w:r>
      <w:proofErr w:type="spellEnd"/>
      <w:r w:rsidRPr="003A0271">
        <w:rPr>
          <w:rFonts w:ascii="Times New Roman" w:hAnsi="Times New Roman" w:cs="Times New Roman"/>
          <w:sz w:val="28"/>
          <w:szCs w:val="28"/>
          <w:lang w:eastAsia="ru-RU"/>
        </w:rPr>
        <w:t xml:space="preserve"> радиофармацевтических лекарственных средств должно быть отобрано достаточное количество образцов, которые должны храниться не менее шести месяцев после истечения срока годности готовой продукции, если иное не установлено при использовании процедур управления рисками.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52. (49) Образцы используемого в производстве исходного сырья, за исключением растворителей, газов и воды, должны храниться не менее двух лет после выпуска продукции. Этот срок может быть сокращен, если в спецификации на сырье указан более короткий период стабильности.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53. (50) Для отбора и хранения проб исходного сырья, материалов, продукции, произведенных по индивидуальному заказу или в малых количествах или если их хранение может вызвать особые трудности, может быть определен иной порядок отбора и хранения. </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166B5" w:rsidRPr="00E11E60" w:rsidTr="009335D5">
        <w:tc>
          <w:tcPr>
            <w:tcW w:w="2499" w:type="pct"/>
            <w:tcBorders>
              <w:top w:val="nil"/>
              <w:left w:val="nil"/>
              <w:bottom w:val="nil"/>
              <w:right w:val="nil"/>
            </w:tcBorders>
            <w:shd w:val="clear" w:color="auto" w:fill="auto"/>
          </w:tcPr>
          <w:p w:rsidR="00C166B5" w:rsidRPr="003A0271" w:rsidRDefault="00C166B5" w:rsidP="009335D5">
            <w:pPr>
              <w:jc w:val="both"/>
            </w:pPr>
            <w:r w:rsidRPr="003A0271">
              <w:lastRenderedPageBreak/>
              <w:br w:type="page"/>
            </w:r>
          </w:p>
        </w:tc>
        <w:tc>
          <w:tcPr>
            <w:tcW w:w="2501" w:type="pct"/>
            <w:tcBorders>
              <w:top w:val="nil"/>
              <w:left w:val="nil"/>
              <w:bottom w:val="nil"/>
              <w:right w:val="nil"/>
            </w:tcBorders>
            <w:shd w:val="clear" w:color="auto" w:fill="auto"/>
          </w:tcPr>
          <w:p w:rsidR="00C166B5" w:rsidRPr="003A0271" w:rsidRDefault="00C166B5"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C166B5" w:rsidRPr="003A0271" w:rsidRDefault="00C166B5"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166B5" w:rsidRPr="00E11E60" w:rsidRDefault="00C166B5"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 Реализация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54. (51) Для радиофармацевтических лекарственных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гарантировано, что лекарственный препарат не будет применен в медицинской организации до получения удовлетворительных результатов испытаний и их оценки уполномоченным лицом.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 Термины и определения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55. Для целей настоящего Приложения кроме терминов и определений, предусмотренных главой II настоящих Правил, используются также следующие основные понятия:</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горячая камера</w:t>
      </w:r>
      <w:r w:rsidRPr="003A0271">
        <w:rPr>
          <w:rFonts w:ascii="Times New Roman" w:hAnsi="Times New Roman" w:cs="Times New Roman"/>
          <w:sz w:val="28"/>
          <w:szCs w:val="28"/>
          <w:lang w:eastAsia="ru-RU"/>
        </w:rPr>
        <w:t xml:space="preserve"> - изолированное или неизолированное экранированное рабочее место для производства и обращения с радиоактивными материалами;</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приготовление </w:t>
      </w:r>
      <w:r w:rsidRPr="003A0271">
        <w:rPr>
          <w:rFonts w:ascii="Times New Roman" w:hAnsi="Times New Roman" w:cs="Times New Roman"/>
          <w:sz w:val="28"/>
          <w:szCs w:val="28"/>
          <w:lang w:eastAsia="ru-RU"/>
        </w:rPr>
        <w:t xml:space="preserve">- подготовка набора в медицинской организации путем внесения в него радионуклида, </w:t>
      </w:r>
      <w:proofErr w:type="spellStart"/>
      <w:r w:rsidRPr="003A0271">
        <w:rPr>
          <w:rFonts w:ascii="Times New Roman" w:hAnsi="Times New Roman" w:cs="Times New Roman"/>
          <w:sz w:val="28"/>
          <w:szCs w:val="28"/>
          <w:lang w:eastAsia="ru-RU"/>
        </w:rPr>
        <w:t>элюированного</w:t>
      </w:r>
      <w:proofErr w:type="spellEnd"/>
      <w:r w:rsidRPr="003A0271">
        <w:rPr>
          <w:rFonts w:ascii="Times New Roman" w:hAnsi="Times New Roman" w:cs="Times New Roman"/>
          <w:sz w:val="28"/>
          <w:szCs w:val="28"/>
          <w:lang w:eastAsia="ru-RU"/>
        </w:rPr>
        <w:t xml:space="preserve"> из генератора, или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радиоактивный предшественник</w:t>
      </w:r>
      <w:r w:rsidRPr="003A0271">
        <w:rPr>
          <w:rFonts w:ascii="Times New Roman" w:hAnsi="Times New Roman" w:cs="Times New Roman"/>
          <w:sz w:val="28"/>
          <w:szCs w:val="28"/>
          <w:lang w:eastAsia="ru-RU"/>
        </w:rPr>
        <w:t xml:space="preserve"> - радиоактивное вещество, предназначенное для введения </w:t>
      </w:r>
      <w:proofErr w:type="spellStart"/>
      <w:r w:rsidRPr="003A0271">
        <w:rPr>
          <w:rFonts w:ascii="Times New Roman" w:hAnsi="Times New Roman" w:cs="Times New Roman"/>
          <w:sz w:val="28"/>
          <w:szCs w:val="28"/>
          <w:lang w:eastAsia="ru-RU"/>
        </w:rPr>
        <w:t>радионуклидной</w:t>
      </w:r>
      <w:proofErr w:type="spellEnd"/>
      <w:r w:rsidRPr="003A0271">
        <w:rPr>
          <w:rFonts w:ascii="Times New Roman" w:hAnsi="Times New Roman" w:cs="Times New Roman"/>
          <w:sz w:val="28"/>
          <w:szCs w:val="28"/>
          <w:lang w:eastAsia="ru-RU"/>
        </w:rPr>
        <w:t xml:space="preserve"> метки в другое вещество перед его применением;</w:t>
      </w:r>
    </w:p>
    <w:p w:rsidR="00C166B5" w:rsidRPr="003A0271"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радиофармацевтические лекарственные средства</w:t>
      </w:r>
      <w:r w:rsidRPr="003A0271">
        <w:rPr>
          <w:rFonts w:ascii="Times New Roman" w:hAnsi="Times New Roman" w:cs="Times New Roman"/>
          <w:sz w:val="28"/>
          <w:szCs w:val="28"/>
          <w:lang w:eastAsia="ru-RU"/>
        </w:rPr>
        <w:t xml:space="preserve">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166B5" w:rsidRDefault="00C166B5" w:rsidP="00C1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C166B5" w:rsidRDefault="00673D25" w:rsidP="00C166B5"/>
    <w:sectPr w:rsidR="00673D25" w:rsidRPr="00C166B5"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CA"/>
    <w:rsid w:val="002833CA"/>
    <w:rsid w:val="00673D25"/>
    <w:rsid w:val="00A57C30"/>
    <w:rsid w:val="00B44A04"/>
    <w:rsid w:val="00C1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0"/>
    <w:pPr>
      <w:spacing w:after="200"/>
    </w:pPr>
    <w:rPr>
      <w:rFonts w:ascii="Calibri" w:eastAsia="Calibri" w:hAnsi="Calibri" w:cs="Calibri"/>
      <w:sz w:val="22"/>
      <w:szCs w:val="22"/>
    </w:rPr>
  </w:style>
  <w:style w:type="paragraph" w:styleId="1">
    <w:name w:val="heading 1"/>
    <w:basedOn w:val="a"/>
    <w:link w:val="10"/>
    <w:uiPriority w:val="99"/>
    <w:qFormat/>
    <w:rsid w:val="00A57C30"/>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A57C30"/>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A57C30"/>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C30"/>
    <w:rPr>
      <w:rFonts w:eastAsia="Calibri"/>
      <w:b/>
      <w:bCs/>
      <w:kern w:val="36"/>
      <w:sz w:val="48"/>
      <w:szCs w:val="48"/>
      <w:lang w:val="x-none" w:eastAsia="ru-RU"/>
    </w:rPr>
  </w:style>
  <w:style w:type="character" w:customStyle="1" w:styleId="40">
    <w:name w:val="Заголовок 4 Знак"/>
    <w:basedOn w:val="a0"/>
    <w:link w:val="4"/>
    <w:uiPriority w:val="99"/>
    <w:rsid w:val="00A57C30"/>
    <w:rPr>
      <w:rFonts w:eastAsia="Calibri"/>
      <w:b/>
      <w:bCs/>
      <w:lang w:val="x-none" w:eastAsia="ru-RU"/>
    </w:rPr>
  </w:style>
  <w:style w:type="character" w:customStyle="1" w:styleId="50">
    <w:name w:val="Заголовок 5 Знак"/>
    <w:basedOn w:val="a0"/>
    <w:link w:val="5"/>
    <w:uiPriority w:val="99"/>
    <w:rsid w:val="00A57C30"/>
    <w:rPr>
      <w:rFonts w:eastAsia="Calibri"/>
      <w:b/>
      <w:bCs/>
      <w:sz w:val="20"/>
      <w:szCs w:val="20"/>
      <w:lang w:val="x-none" w:eastAsia="ru-RU"/>
    </w:rPr>
  </w:style>
  <w:style w:type="character" w:styleId="a3">
    <w:name w:val="Hyperlink"/>
    <w:uiPriority w:val="99"/>
    <w:semiHidden/>
    <w:rsid w:val="00A57C30"/>
    <w:rPr>
      <w:color w:val="0000FF"/>
      <w:u w:val="single"/>
    </w:rPr>
  </w:style>
  <w:style w:type="character" w:styleId="a4">
    <w:name w:val="FollowedHyperlink"/>
    <w:uiPriority w:val="99"/>
    <w:semiHidden/>
    <w:rsid w:val="00A57C30"/>
    <w:rPr>
      <w:color w:val="800080"/>
      <w:u w:val="single"/>
    </w:rPr>
  </w:style>
  <w:style w:type="character" w:styleId="a5">
    <w:name w:val="Strong"/>
    <w:uiPriority w:val="99"/>
    <w:qFormat/>
    <w:rsid w:val="00A57C30"/>
    <w:rPr>
      <w:b/>
      <w:bCs/>
    </w:rPr>
  </w:style>
  <w:style w:type="paragraph" w:styleId="a6">
    <w:name w:val="Normal (Web)"/>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A57C30"/>
    <w:rPr>
      <w:rFonts w:ascii="Courier New" w:eastAsia="Calibri" w:hAnsi="Courier New"/>
      <w:sz w:val="20"/>
      <w:szCs w:val="20"/>
      <w:lang w:val="x-none" w:eastAsia="ru-RU"/>
    </w:rPr>
  </w:style>
  <w:style w:type="paragraph" w:customStyle="1" w:styleId="textreview">
    <w:name w:val="text_review"/>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57C30"/>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A57C30"/>
    <w:rPr>
      <w:rFonts w:ascii="Tahoma" w:eastAsia="Calibri" w:hAnsi="Tahoma"/>
      <w:sz w:val="16"/>
      <w:szCs w:val="16"/>
      <w:lang w:val="x-none" w:eastAsia="x-none"/>
    </w:rPr>
  </w:style>
  <w:style w:type="paragraph" w:styleId="a9">
    <w:name w:val="header"/>
    <w:basedOn w:val="a"/>
    <w:link w:val="aa"/>
    <w:uiPriority w:val="99"/>
    <w:unhideWhenUsed/>
    <w:rsid w:val="00A57C30"/>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A57C30"/>
    <w:rPr>
      <w:rFonts w:ascii="Calibri" w:eastAsia="Calibri" w:hAnsi="Calibri"/>
      <w:sz w:val="22"/>
      <w:szCs w:val="22"/>
      <w:lang w:val="x-none"/>
    </w:rPr>
  </w:style>
  <w:style w:type="paragraph" w:styleId="ab">
    <w:name w:val="footer"/>
    <w:basedOn w:val="a"/>
    <w:link w:val="ac"/>
    <w:uiPriority w:val="99"/>
    <w:unhideWhenUsed/>
    <w:rsid w:val="00A57C30"/>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A57C30"/>
    <w:rPr>
      <w:rFonts w:ascii="Calibri" w:eastAsia="Calibri" w:hAnsi="Calibri"/>
      <w:sz w:val="22"/>
      <w:szCs w:val="22"/>
      <w:lang w:val="x-none"/>
    </w:rPr>
  </w:style>
  <w:style w:type="table" w:styleId="ad">
    <w:name w:val="Table Grid"/>
    <w:basedOn w:val="a1"/>
    <w:uiPriority w:val="59"/>
    <w:rsid w:val="00A57C30"/>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A57C30"/>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0"/>
    <w:pPr>
      <w:spacing w:after="200"/>
    </w:pPr>
    <w:rPr>
      <w:rFonts w:ascii="Calibri" w:eastAsia="Calibri" w:hAnsi="Calibri" w:cs="Calibri"/>
      <w:sz w:val="22"/>
      <w:szCs w:val="22"/>
    </w:rPr>
  </w:style>
  <w:style w:type="paragraph" w:styleId="1">
    <w:name w:val="heading 1"/>
    <w:basedOn w:val="a"/>
    <w:link w:val="10"/>
    <w:uiPriority w:val="99"/>
    <w:qFormat/>
    <w:rsid w:val="00A57C30"/>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A57C30"/>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A57C30"/>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C30"/>
    <w:rPr>
      <w:rFonts w:eastAsia="Calibri"/>
      <w:b/>
      <w:bCs/>
      <w:kern w:val="36"/>
      <w:sz w:val="48"/>
      <w:szCs w:val="48"/>
      <w:lang w:val="x-none" w:eastAsia="ru-RU"/>
    </w:rPr>
  </w:style>
  <w:style w:type="character" w:customStyle="1" w:styleId="40">
    <w:name w:val="Заголовок 4 Знак"/>
    <w:basedOn w:val="a0"/>
    <w:link w:val="4"/>
    <w:uiPriority w:val="99"/>
    <w:rsid w:val="00A57C30"/>
    <w:rPr>
      <w:rFonts w:eastAsia="Calibri"/>
      <w:b/>
      <w:bCs/>
      <w:lang w:val="x-none" w:eastAsia="ru-RU"/>
    </w:rPr>
  </w:style>
  <w:style w:type="character" w:customStyle="1" w:styleId="50">
    <w:name w:val="Заголовок 5 Знак"/>
    <w:basedOn w:val="a0"/>
    <w:link w:val="5"/>
    <w:uiPriority w:val="99"/>
    <w:rsid w:val="00A57C30"/>
    <w:rPr>
      <w:rFonts w:eastAsia="Calibri"/>
      <w:b/>
      <w:bCs/>
      <w:sz w:val="20"/>
      <w:szCs w:val="20"/>
      <w:lang w:val="x-none" w:eastAsia="ru-RU"/>
    </w:rPr>
  </w:style>
  <w:style w:type="character" w:styleId="a3">
    <w:name w:val="Hyperlink"/>
    <w:uiPriority w:val="99"/>
    <w:semiHidden/>
    <w:rsid w:val="00A57C30"/>
    <w:rPr>
      <w:color w:val="0000FF"/>
      <w:u w:val="single"/>
    </w:rPr>
  </w:style>
  <w:style w:type="character" w:styleId="a4">
    <w:name w:val="FollowedHyperlink"/>
    <w:uiPriority w:val="99"/>
    <w:semiHidden/>
    <w:rsid w:val="00A57C30"/>
    <w:rPr>
      <w:color w:val="800080"/>
      <w:u w:val="single"/>
    </w:rPr>
  </w:style>
  <w:style w:type="character" w:styleId="a5">
    <w:name w:val="Strong"/>
    <w:uiPriority w:val="99"/>
    <w:qFormat/>
    <w:rsid w:val="00A57C30"/>
    <w:rPr>
      <w:b/>
      <w:bCs/>
    </w:rPr>
  </w:style>
  <w:style w:type="paragraph" w:styleId="a6">
    <w:name w:val="Normal (Web)"/>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A57C30"/>
    <w:rPr>
      <w:rFonts w:ascii="Courier New" w:eastAsia="Calibri" w:hAnsi="Courier New"/>
      <w:sz w:val="20"/>
      <w:szCs w:val="20"/>
      <w:lang w:val="x-none" w:eastAsia="ru-RU"/>
    </w:rPr>
  </w:style>
  <w:style w:type="paragraph" w:customStyle="1" w:styleId="textreview">
    <w:name w:val="text_review"/>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57C30"/>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A57C30"/>
    <w:rPr>
      <w:rFonts w:ascii="Tahoma" w:eastAsia="Calibri" w:hAnsi="Tahoma"/>
      <w:sz w:val="16"/>
      <w:szCs w:val="16"/>
      <w:lang w:val="x-none" w:eastAsia="x-none"/>
    </w:rPr>
  </w:style>
  <w:style w:type="paragraph" w:styleId="a9">
    <w:name w:val="header"/>
    <w:basedOn w:val="a"/>
    <w:link w:val="aa"/>
    <w:uiPriority w:val="99"/>
    <w:unhideWhenUsed/>
    <w:rsid w:val="00A57C30"/>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A57C30"/>
    <w:rPr>
      <w:rFonts w:ascii="Calibri" w:eastAsia="Calibri" w:hAnsi="Calibri"/>
      <w:sz w:val="22"/>
      <w:szCs w:val="22"/>
      <w:lang w:val="x-none"/>
    </w:rPr>
  </w:style>
  <w:style w:type="paragraph" w:styleId="ab">
    <w:name w:val="footer"/>
    <w:basedOn w:val="a"/>
    <w:link w:val="ac"/>
    <w:uiPriority w:val="99"/>
    <w:unhideWhenUsed/>
    <w:rsid w:val="00A57C30"/>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A57C30"/>
    <w:rPr>
      <w:rFonts w:ascii="Calibri" w:eastAsia="Calibri" w:hAnsi="Calibri"/>
      <w:sz w:val="22"/>
      <w:szCs w:val="22"/>
      <w:lang w:val="x-none"/>
    </w:rPr>
  </w:style>
  <w:style w:type="table" w:styleId="ad">
    <w:name w:val="Table Grid"/>
    <w:basedOn w:val="a1"/>
    <w:uiPriority w:val="59"/>
    <w:rsid w:val="00A57C30"/>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A57C30"/>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3243</Words>
  <Characters>18487</Characters>
  <Application>Microsoft Office Word</Application>
  <DocSecurity>0</DocSecurity>
  <Lines>154</Lines>
  <Paragraphs>43</Paragraphs>
  <ScaleCrop>false</ScaleCrop>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3</cp:revision>
  <dcterms:created xsi:type="dcterms:W3CDTF">2015-07-10T12:40:00Z</dcterms:created>
  <dcterms:modified xsi:type="dcterms:W3CDTF">2015-07-10T12:44:00Z</dcterms:modified>
</cp:coreProperties>
</file>