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Управление делами Совета Министров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угля и энергетики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l"/>
            </w:pPr>
            <w:hyperlink r:id="rId4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обороны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l"/>
            </w:pPr>
            <w:hyperlink r:id="rId5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социальной политики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1B73FD">
            <w:pPr>
              <w:pStyle w:val="tl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Инспекция по вопросам труда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c"/>
            </w:pPr>
            <w:hyperlink r:id="rId6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l"/>
            </w:pPr>
            <w:hyperlink r:id="rId7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c"/>
            </w:pPr>
            <w:hyperlink r:id="rId8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финансов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47262C" w:rsidP="001B73FD">
            <w:pPr>
              <w:pStyle w:val="tc"/>
            </w:pPr>
            <w:hyperlink r:id="rId9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Министерство государственной безопасности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proofErr w:type="spellStart"/>
            <w:r w:rsidRPr="00614D47">
              <w:t>Амвросиевская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proofErr w:type="spellStart"/>
            <w:r w:rsidRPr="00614D47">
              <w:t>Новоазовская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proofErr w:type="spellStart"/>
            <w:r w:rsidRPr="00614D47">
              <w:t>Старобешевская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proofErr w:type="spellStart"/>
            <w:r w:rsidRPr="00614D47">
              <w:t>Тельмановская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l"/>
            </w:pPr>
            <w:r w:rsidRPr="00614D47">
              <w:t>Шахтерская районная администрация 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30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MF13036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MF130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MF1308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ligazakon.ua/l_doc2.nsf/link1/MF11124.html" TargetMode="External"/><Relationship Id="rId9" Type="http://schemas.openxmlformats.org/officeDocument/2006/relationships/hyperlink" Target="http://search.ligazakon.ua/l_doc2.nsf/link1/MF13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2015-02-09T10:12:00Z</cp:lastPrinted>
  <dcterms:created xsi:type="dcterms:W3CDTF">2015-06-18T08:30:00Z</dcterms:created>
  <dcterms:modified xsi:type="dcterms:W3CDTF">2016-03-10T14:45:00Z</dcterms:modified>
</cp:coreProperties>
</file>