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FE" w:rsidRDefault="000110FE" w:rsidP="000110F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B70DC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10FE" w:rsidRDefault="000110FE" w:rsidP="000110F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Требованиям</w:t>
      </w:r>
    </w:p>
    <w:p w:rsidR="000110FE" w:rsidRPr="009B70DC" w:rsidRDefault="000110FE" w:rsidP="000110FE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2)</w:t>
      </w:r>
    </w:p>
    <w:p w:rsidR="000110FE" w:rsidRDefault="000110FE" w:rsidP="00011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0FE" w:rsidRPr="00CF0C43" w:rsidRDefault="000110FE" w:rsidP="00011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C4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110FE" w:rsidRPr="00CF0C43" w:rsidRDefault="000110FE" w:rsidP="00011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0C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заполнения плана и экономического обоснования развития телекоммуникационной сети </w:t>
      </w:r>
    </w:p>
    <w:p w:rsidR="000110FE" w:rsidRPr="002E051C" w:rsidRDefault="000110FE" w:rsidP="000110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10FE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Зарегистрированный (паевой) капитал предприятия</w:t>
      </w:r>
      <w:r>
        <w:rPr>
          <w:rFonts w:ascii="Times New Roman" w:hAnsi="Times New Roman"/>
          <w:b/>
          <w:sz w:val="28"/>
          <w:szCs w:val="28"/>
        </w:rPr>
        <w:t xml:space="preserve"> (уставный фонд)»</w:t>
      </w:r>
      <w:r w:rsidRPr="00DC6592">
        <w:rPr>
          <w:rFonts w:ascii="Times New Roman" w:hAnsi="Times New Roman"/>
          <w:b/>
          <w:sz w:val="28"/>
          <w:szCs w:val="28"/>
        </w:rPr>
        <w:t xml:space="preserve"> - </w:t>
      </w:r>
      <w:r w:rsidRPr="00DC6592">
        <w:rPr>
          <w:rFonts w:ascii="Times New Roman" w:hAnsi="Times New Roman"/>
          <w:sz w:val="28"/>
          <w:szCs w:val="28"/>
        </w:rPr>
        <w:t xml:space="preserve">сумма, зафиксированная в учредительных документах </w:t>
      </w:r>
      <w:r>
        <w:rPr>
          <w:rFonts w:ascii="Times New Roman" w:hAnsi="Times New Roman"/>
          <w:sz w:val="28"/>
          <w:szCs w:val="28"/>
        </w:rPr>
        <w:t>юридического  лица</w:t>
      </w:r>
      <w:r w:rsidRPr="00DC6592">
        <w:rPr>
          <w:rFonts w:ascii="Times New Roman" w:hAnsi="Times New Roman"/>
          <w:sz w:val="28"/>
          <w:szCs w:val="28"/>
        </w:rPr>
        <w:t xml:space="preserve">. Отображается для оценки суммы средств, первоначально вложенных собственниками для обеспечения деятельности </w:t>
      </w:r>
      <w:r>
        <w:rPr>
          <w:rFonts w:ascii="Times New Roman" w:hAnsi="Times New Roman"/>
          <w:sz w:val="28"/>
          <w:szCs w:val="28"/>
        </w:rPr>
        <w:t>юридического лица</w:t>
      </w:r>
      <w:r w:rsidRPr="00DC6592">
        <w:rPr>
          <w:rFonts w:ascii="Times New Roman" w:hAnsi="Times New Roman"/>
          <w:sz w:val="28"/>
          <w:szCs w:val="28"/>
        </w:rPr>
        <w:t xml:space="preserve"> (ресурсы, которые позволят осуществлять деятельность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предоставлению</w:t>
      </w:r>
      <w:r w:rsidRPr="00DC6592">
        <w:rPr>
          <w:rFonts w:ascii="Times New Roman" w:hAnsi="Times New Roman"/>
          <w:sz w:val="28"/>
          <w:szCs w:val="28"/>
        </w:rPr>
        <w:t xml:space="preserve"> 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DC6592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DC6592">
        <w:rPr>
          <w:rFonts w:ascii="Times New Roman" w:hAnsi="Times New Roman"/>
          <w:sz w:val="28"/>
          <w:szCs w:val="28"/>
        </w:rPr>
        <w:t>).</w:t>
      </w:r>
    </w:p>
    <w:p w:rsidR="000110FE" w:rsidRPr="002E051C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0FE" w:rsidRPr="00777190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Инвестиционные расходы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500B5A">
        <w:rPr>
          <w:rFonts w:ascii="Times New Roman" w:hAnsi="Times New Roman"/>
          <w:b/>
          <w:sz w:val="28"/>
          <w:szCs w:val="28"/>
        </w:rPr>
        <w:t xml:space="preserve"> - </w:t>
      </w:r>
      <w:r w:rsidRPr="00500B5A">
        <w:rPr>
          <w:rFonts w:ascii="Times New Roman" w:hAnsi="Times New Roman"/>
          <w:sz w:val="28"/>
          <w:szCs w:val="28"/>
        </w:rPr>
        <w:t>капитальные вложения, затраты на новое строительство. Включают в себя стоимость приобретения, строительства, расширения, реконструкции, технического перевооружения основных средств, приобретение нематериальных активов, проектно-изыскательские работы и т.д., необходимые для предоставления 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500B5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500B5A">
        <w:rPr>
          <w:rFonts w:ascii="Times New Roman" w:hAnsi="Times New Roman"/>
          <w:sz w:val="28"/>
          <w:szCs w:val="28"/>
        </w:rPr>
        <w:t>.</w:t>
      </w:r>
      <w:r w:rsidRPr="00777190">
        <w:rPr>
          <w:rFonts w:ascii="Times New Roman" w:hAnsi="Times New Roman"/>
          <w:b/>
          <w:sz w:val="28"/>
          <w:szCs w:val="28"/>
          <w:vertAlign w:val="superscript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777190">
        <w:rPr>
          <w:rFonts w:ascii="Times New Roman" w:hAnsi="Times New Roman"/>
          <w:b/>
          <w:sz w:val="28"/>
          <w:szCs w:val="28"/>
        </w:rPr>
        <w:t>случае отсутствия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7190">
        <w:rPr>
          <w:rFonts w:ascii="Times New Roman" w:hAnsi="Times New Roman"/>
          <w:b/>
          <w:sz w:val="28"/>
          <w:szCs w:val="28"/>
        </w:rPr>
        <w:t>планирования вышеуказанных расходов, заполнению</w:t>
      </w:r>
      <w:r>
        <w:rPr>
          <w:rFonts w:ascii="Times New Roman" w:hAnsi="Times New Roman"/>
          <w:b/>
          <w:sz w:val="28"/>
          <w:szCs w:val="28"/>
        </w:rPr>
        <w:t xml:space="preserve"> не</w:t>
      </w:r>
      <w:r w:rsidRPr="00777190">
        <w:rPr>
          <w:rFonts w:ascii="Times New Roman" w:hAnsi="Times New Roman"/>
          <w:b/>
          <w:sz w:val="28"/>
          <w:szCs w:val="28"/>
        </w:rPr>
        <w:t xml:space="preserve"> подлежит. </w:t>
      </w:r>
    </w:p>
    <w:p w:rsidR="000110FE" w:rsidRPr="002E051C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0FE" w:rsidRPr="002206EA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План предоставления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592">
        <w:rPr>
          <w:rFonts w:ascii="Times New Roman" w:hAnsi="Times New Roman"/>
          <w:b/>
          <w:sz w:val="28"/>
          <w:szCs w:val="28"/>
        </w:rPr>
        <w:t xml:space="preserve">в рамках основной </w:t>
      </w:r>
      <w:r>
        <w:rPr>
          <w:rFonts w:ascii="Times New Roman" w:hAnsi="Times New Roman"/>
          <w:b/>
          <w:sz w:val="28"/>
          <w:szCs w:val="28"/>
        </w:rPr>
        <w:t>лицензируемой</w:t>
      </w:r>
      <w:r w:rsidRPr="00DC65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телекоммуникационной </w:t>
      </w:r>
      <w:r w:rsidRPr="00DC6592">
        <w:rPr>
          <w:rFonts w:ascii="Times New Roman" w:hAnsi="Times New Roman"/>
          <w:b/>
          <w:sz w:val="28"/>
          <w:szCs w:val="28"/>
        </w:rPr>
        <w:t>услуги</w:t>
      </w:r>
      <w:r>
        <w:rPr>
          <w:rFonts w:ascii="Times New Roman" w:hAnsi="Times New Roman"/>
          <w:b/>
          <w:sz w:val="28"/>
          <w:szCs w:val="28"/>
        </w:rPr>
        <w:t>»</w:t>
      </w:r>
      <w:r w:rsidRPr="00500B5A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это </w:t>
      </w:r>
      <w:r w:rsidRPr="00500B5A">
        <w:rPr>
          <w:rFonts w:ascii="Times New Roman" w:hAnsi="Times New Roman"/>
          <w:sz w:val="28"/>
          <w:szCs w:val="28"/>
        </w:rPr>
        <w:t>прогноз количественного предоставления услуг в</w:t>
      </w:r>
      <w:r>
        <w:rPr>
          <w:rFonts w:ascii="Times New Roman" w:hAnsi="Times New Roman"/>
          <w:sz w:val="28"/>
          <w:szCs w:val="28"/>
        </w:rPr>
        <w:t xml:space="preserve"> натуральном выражении и размер</w:t>
      </w:r>
      <w:r w:rsidRPr="00500B5A">
        <w:rPr>
          <w:rFonts w:ascii="Times New Roman" w:hAnsi="Times New Roman"/>
          <w:sz w:val="28"/>
          <w:szCs w:val="28"/>
        </w:rPr>
        <w:t xml:space="preserve"> среднего дохода (тарифа) на </w:t>
      </w:r>
      <w:r>
        <w:rPr>
          <w:rFonts w:ascii="Times New Roman" w:hAnsi="Times New Roman"/>
          <w:sz w:val="28"/>
          <w:szCs w:val="28"/>
        </w:rPr>
        <w:t>одну</w:t>
      </w:r>
      <w:r w:rsidRPr="00500B5A">
        <w:rPr>
          <w:rFonts w:ascii="Times New Roman" w:hAnsi="Times New Roman"/>
          <w:sz w:val="28"/>
          <w:szCs w:val="28"/>
        </w:rPr>
        <w:t xml:space="preserve"> услугу (</w:t>
      </w:r>
      <w:r>
        <w:rPr>
          <w:rFonts w:ascii="Times New Roman" w:hAnsi="Times New Roman"/>
          <w:sz w:val="28"/>
          <w:szCs w:val="28"/>
        </w:rPr>
        <w:t>одну</w:t>
      </w:r>
      <w:r w:rsidRPr="00500B5A">
        <w:rPr>
          <w:rFonts w:ascii="Times New Roman" w:hAnsi="Times New Roman"/>
          <w:sz w:val="28"/>
          <w:szCs w:val="28"/>
        </w:rPr>
        <w:t xml:space="preserve"> абонентск</w:t>
      </w:r>
      <w:r>
        <w:rPr>
          <w:rFonts w:ascii="Times New Roman" w:hAnsi="Times New Roman"/>
          <w:sz w:val="28"/>
          <w:szCs w:val="28"/>
        </w:rPr>
        <w:t>ую</w:t>
      </w:r>
      <w:r w:rsidRPr="00500B5A">
        <w:rPr>
          <w:rFonts w:ascii="Times New Roman" w:hAnsi="Times New Roman"/>
          <w:sz w:val="28"/>
          <w:szCs w:val="28"/>
        </w:rPr>
        <w:t xml:space="preserve"> точк</w:t>
      </w:r>
      <w:r>
        <w:rPr>
          <w:rFonts w:ascii="Times New Roman" w:hAnsi="Times New Roman"/>
          <w:sz w:val="28"/>
          <w:szCs w:val="28"/>
        </w:rPr>
        <w:t>у</w:t>
      </w:r>
      <w:r w:rsidRPr="00500B5A">
        <w:rPr>
          <w:rFonts w:ascii="Times New Roman" w:hAnsi="Times New Roman"/>
          <w:sz w:val="28"/>
          <w:szCs w:val="28"/>
        </w:rPr>
        <w:t xml:space="preserve"> доступа). План предусматривает как предоставление разовых услуг, связанных с подключением (организацией) услуги, так и постоянных, которыми </w:t>
      </w:r>
      <w:r w:rsidRPr="002206EA">
        <w:rPr>
          <w:rFonts w:ascii="Times New Roman" w:hAnsi="Times New Roman"/>
          <w:sz w:val="28"/>
          <w:szCs w:val="28"/>
        </w:rPr>
        <w:t>потребители после подключения будут пользоваться постоянно.</w:t>
      </w:r>
    </w:p>
    <w:p w:rsidR="000110FE" w:rsidRPr="002E051C" w:rsidRDefault="000110FE" w:rsidP="00011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110FE" w:rsidRPr="002206EA" w:rsidRDefault="000110FE" w:rsidP="000110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06EA">
        <w:rPr>
          <w:rFonts w:ascii="Times New Roman" w:hAnsi="Times New Roman"/>
          <w:b/>
          <w:sz w:val="28"/>
          <w:szCs w:val="28"/>
          <w:u w:val="single"/>
        </w:rPr>
        <w:t>ВАЖНО</w:t>
      </w:r>
      <w:r w:rsidRPr="002206EA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662018">
        <w:rPr>
          <w:rFonts w:ascii="Times New Roman" w:hAnsi="Times New Roman"/>
          <w:b/>
          <w:sz w:val="28"/>
          <w:szCs w:val="28"/>
          <w:u w:val="single"/>
        </w:rPr>
        <w:t>подраздел 3.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662018">
        <w:rPr>
          <w:rFonts w:ascii="Times New Roman" w:hAnsi="Times New Roman"/>
          <w:b/>
          <w:sz w:val="28"/>
          <w:szCs w:val="28"/>
          <w:u w:val="single"/>
        </w:rPr>
        <w:t>. предусматривает дробление лицензируемой услуги на ее основные виды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206EA">
        <w:rPr>
          <w:rFonts w:ascii="Times New Roman" w:hAnsi="Times New Roman"/>
          <w:b/>
          <w:sz w:val="28"/>
          <w:szCs w:val="28"/>
          <w:u w:val="single"/>
        </w:rPr>
        <w:t xml:space="preserve">– услуги, которые планирует предоставлять соискатель в рамках лицензируемой деятельности. </w:t>
      </w:r>
    </w:p>
    <w:p w:rsidR="000110FE" w:rsidRPr="002E051C" w:rsidRDefault="000110FE" w:rsidP="000110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10FE" w:rsidRDefault="000110FE" w:rsidP="000110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6EA">
        <w:rPr>
          <w:rFonts w:ascii="Times New Roman" w:hAnsi="Times New Roman"/>
          <w:b/>
          <w:sz w:val="28"/>
          <w:szCs w:val="28"/>
        </w:rPr>
        <w:t>ПРИМЕР</w:t>
      </w:r>
      <w:r w:rsidRPr="002206EA">
        <w:rPr>
          <w:rFonts w:ascii="Times New Roman" w:hAnsi="Times New Roman"/>
          <w:sz w:val="28"/>
          <w:szCs w:val="28"/>
        </w:rPr>
        <w:t>: лицензируемая услуга</w:t>
      </w:r>
      <w:r w:rsidRPr="00F543B5">
        <w:rPr>
          <w:rFonts w:ascii="Times New Roman" w:hAnsi="Times New Roman"/>
          <w:sz w:val="28"/>
          <w:szCs w:val="28"/>
        </w:rPr>
        <w:t xml:space="preserve"> (основная) «</w:t>
      </w:r>
      <w:r>
        <w:rPr>
          <w:rFonts w:ascii="Times New Roman" w:hAnsi="Times New Roman"/>
          <w:sz w:val="28"/>
          <w:szCs w:val="28"/>
        </w:rPr>
        <w:t>Телекоммуникационные услуги по передаче</w:t>
      </w:r>
      <w:r w:rsidRPr="00F543B5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х, за исключением телекоммуникационных услуг по передаче данных для целей передачи</w:t>
      </w:r>
      <w:r w:rsidRPr="00F543B5">
        <w:rPr>
          <w:rFonts w:ascii="Times New Roman" w:hAnsi="Times New Roman"/>
          <w:sz w:val="28"/>
          <w:szCs w:val="28"/>
        </w:rPr>
        <w:t xml:space="preserve"> голосовой информации»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3B5">
        <w:rPr>
          <w:rFonts w:ascii="Times New Roman" w:hAnsi="Times New Roman"/>
          <w:sz w:val="28"/>
          <w:szCs w:val="28"/>
        </w:rPr>
        <w:t xml:space="preserve">(условно услуги </w:t>
      </w:r>
      <w:r>
        <w:rPr>
          <w:rFonts w:ascii="Times New Roman" w:hAnsi="Times New Roman"/>
          <w:sz w:val="28"/>
          <w:szCs w:val="28"/>
        </w:rPr>
        <w:t>оператора по предоставлению доступа к сети Интернет</w:t>
      </w:r>
      <w:r w:rsidRPr="00F543B5">
        <w:rPr>
          <w:rFonts w:ascii="Times New Roman" w:hAnsi="Times New Roman"/>
          <w:sz w:val="28"/>
          <w:szCs w:val="28"/>
        </w:rPr>
        <w:t>).</w:t>
      </w:r>
    </w:p>
    <w:p w:rsidR="000110FE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10FE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3B5">
        <w:rPr>
          <w:rFonts w:ascii="Times New Roman" w:hAnsi="Times New Roman"/>
          <w:b/>
          <w:sz w:val="24"/>
          <w:szCs w:val="24"/>
          <w:u w:val="single"/>
        </w:rPr>
        <w:t xml:space="preserve">Разовые услуги </w:t>
      </w:r>
    </w:p>
    <w:p w:rsidR="000110FE" w:rsidRPr="00D626BD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0110FE" w:rsidRPr="004730E3" w:rsidRDefault="000110FE" w:rsidP="000110F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</w:rPr>
        <w:t>Подключение к сети оператора: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842"/>
        <w:gridCol w:w="1637"/>
        <w:gridCol w:w="1765"/>
      </w:tblGrid>
      <w:tr w:rsidR="000110FE" w:rsidRPr="00243973" w:rsidTr="00826666">
        <w:trPr>
          <w:trHeight w:val="3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</w:tr>
      <w:tr w:rsidR="000110FE" w:rsidRPr="00243973" w:rsidTr="008266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200 ед.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400 ед.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600 ед.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400 ед.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1000 ед.</w:t>
            </w:r>
          </w:p>
        </w:tc>
      </w:tr>
      <w:tr w:rsidR="000110FE" w:rsidRPr="00243973" w:rsidTr="00826666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0FE" w:rsidRPr="00243973" w:rsidRDefault="000110FE" w:rsidP="008266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543B5">
        <w:rPr>
          <w:rFonts w:ascii="Times New Roman" w:hAnsi="Times New Roman"/>
          <w:sz w:val="24"/>
          <w:szCs w:val="24"/>
        </w:rPr>
        <w:t xml:space="preserve">Средний доход (тариф) </w:t>
      </w:r>
      <w:r>
        <w:rPr>
          <w:rFonts w:ascii="Times New Roman" w:hAnsi="Times New Roman"/>
          <w:sz w:val="24"/>
          <w:szCs w:val="24"/>
        </w:rPr>
        <w:t>от</w:t>
      </w:r>
      <w:r w:rsidRPr="00F543B5">
        <w:rPr>
          <w:rFonts w:ascii="Times New Roman" w:hAnsi="Times New Roman"/>
          <w:sz w:val="24"/>
          <w:szCs w:val="24"/>
        </w:rPr>
        <w:t xml:space="preserve">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3B5">
        <w:rPr>
          <w:rFonts w:ascii="Times New Roman" w:hAnsi="Times New Roman"/>
          <w:sz w:val="24"/>
          <w:szCs w:val="24"/>
        </w:rPr>
        <w:t>(организации)</w:t>
      </w:r>
      <w:r>
        <w:rPr>
          <w:rFonts w:ascii="Times New Roman" w:hAnsi="Times New Roman"/>
          <w:sz w:val="24"/>
          <w:szCs w:val="24"/>
        </w:rPr>
        <w:t xml:space="preserve"> услуги за 1-й год , 2-й год</w:t>
      </w:r>
      <w:r w:rsidRPr="00F543B5">
        <w:rPr>
          <w:rFonts w:ascii="Times New Roman" w:hAnsi="Times New Roman"/>
          <w:sz w:val="24"/>
          <w:szCs w:val="24"/>
        </w:rPr>
        <w:t xml:space="preserve"> = 50 </w:t>
      </w:r>
      <w:r>
        <w:rPr>
          <w:rFonts w:ascii="Times New Roman" w:hAnsi="Times New Roman"/>
          <w:sz w:val="24"/>
          <w:szCs w:val="24"/>
        </w:rPr>
        <w:t>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F543B5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</w:p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543B5">
        <w:rPr>
          <w:rFonts w:ascii="Times New Roman" w:hAnsi="Times New Roman"/>
          <w:sz w:val="24"/>
          <w:szCs w:val="24"/>
        </w:rPr>
        <w:t xml:space="preserve">Средний доход (тариф) </w:t>
      </w:r>
      <w:r>
        <w:rPr>
          <w:rFonts w:ascii="Times New Roman" w:hAnsi="Times New Roman"/>
          <w:sz w:val="24"/>
          <w:szCs w:val="24"/>
        </w:rPr>
        <w:t>от</w:t>
      </w:r>
      <w:r w:rsidRPr="00F543B5">
        <w:rPr>
          <w:rFonts w:ascii="Times New Roman" w:hAnsi="Times New Roman"/>
          <w:sz w:val="24"/>
          <w:szCs w:val="24"/>
        </w:rPr>
        <w:t xml:space="preserve"> подключения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3B5">
        <w:rPr>
          <w:rFonts w:ascii="Times New Roman" w:hAnsi="Times New Roman"/>
          <w:sz w:val="24"/>
          <w:szCs w:val="24"/>
        </w:rPr>
        <w:t>(организации)</w:t>
      </w:r>
      <w:r>
        <w:rPr>
          <w:rFonts w:ascii="Times New Roman" w:hAnsi="Times New Roman"/>
          <w:sz w:val="24"/>
          <w:szCs w:val="24"/>
        </w:rPr>
        <w:t xml:space="preserve"> услуги за 3-й год - 5-й год</w:t>
      </w:r>
      <w:r w:rsidRPr="00F543B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60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 w:rsidRPr="00F543B5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</w:p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110FE" w:rsidRDefault="000110FE" w:rsidP="000110FE">
      <w:pPr>
        <w:pStyle w:val="a3"/>
        <w:tabs>
          <w:tab w:val="left" w:pos="284"/>
        </w:tabs>
        <w:spacing w:after="0" w:line="240" w:lineRule="auto"/>
        <w:ind w:left="709" w:firstLine="142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  <w:u w:val="single"/>
        </w:rPr>
        <w:t>Постоянные услуги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730E3">
        <w:rPr>
          <w:rFonts w:ascii="Times New Roman" w:hAnsi="Times New Roman"/>
          <w:sz w:val="24"/>
          <w:szCs w:val="24"/>
        </w:rPr>
        <w:t>(количество пользователей нарастающим итогом)</w:t>
      </w:r>
      <w:r w:rsidRPr="004730E3">
        <w:rPr>
          <w:rFonts w:ascii="Times New Roman" w:hAnsi="Times New Roman"/>
          <w:b/>
          <w:sz w:val="24"/>
          <w:szCs w:val="24"/>
        </w:rPr>
        <w:t>:</w:t>
      </w:r>
    </w:p>
    <w:p w:rsidR="000110FE" w:rsidRPr="00D626BD" w:rsidRDefault="000110FE" w:rsidP="000110FE">
      <w:pPr>
        <w:pStyle w:val="a3"/>
        <w:tabs>
          <w:tab w:val="left" w:pos="284"/>
        </w:tabs>
        <w:spacing w:after="0" w:line="240" w:lineRule="auto"/>
        <w:ind w:left="709" w:firstLine="142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0110FE" w:rsidRDefault="000110FE" w:rsidP="000110F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</w:rPr>
        <w:t>Абонентская плата за доступ к сети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30E3">
        <w:rPr>
          <w:rFonts w:ascii="Times New Roman" w:hAnsi="Times New Roman"/>
          <w:b/>
          <w:sz w:val="24"/>
          <w:szCs w:val="24"/>
        </w:rPr>
        <w:t>Интернет со скоростью 60 Мбит/</w:t>
      </w:r>
      <w:proofErr w:type="gramStart"/>
      <w:r w:rsidRPr="004730E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30E3">
        <w:rPr>
          <w:rFonts w:ascii="Times New Roman" w:hAnsi="Times New Roman"/>
          <w:b/>
          <w:sz w:val="24"/>
          <w:szCs w:val="24"/>
        </w:rPr>
        <w:t>:</w:t>
      </w:r>
    </w:p>
    <w:p w:rsidR="000110FE" w:rsidRPr="004730E3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7" w:type="dxa"/>
        <w:tblInd w:w="392" w:type="dxa"/>
        <w:tblLook w:val="04A0" w:firstRow="1" w:lastRow="0" w:firstColumn="1" w:lastColumn="0" w:noHBand="0" w:noVBand="1"/>
      </w:tblPr>
      <w:tblGrid>
        <w:gridCol w:w="1590"/>
        <w:gridCol w:w="1591"/>
        <w:gridCol w:w="1593"/>
        <w:gridCol w:w="1590"/>
        <w:gridCol w:w="1615"/>
        <w:gridCol w:w="1518"/>
      </w:tblGrid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615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518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100 ед.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 xml:space="preserve">300 ед.      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600ед.</w:t>
            </w:r>
          </w:p>
        </w:tc>
        <w:tc>
          <w:tcPr>
            <w:tcW w:w="1590" w:type="dxa"/>
          </w:tcPr>
          <w:p w:rsidR="000110FE" w:rsidRPr="004730E3" w:rsidRDefault="000110FE" w:rsidP="00826666">
            <w:pPr>
              <w:pStyle w:val="consplusnormal"/>
              <w:spacing w:before="0" w:beforeAutospacing="0" w:after="0" w:afterAutospacing="0"/>
              <w:contextualSpacing/>
              <w:jc w:val="both"/>
            </w:pPr>
            <w:r w:rsidRPr="004730E3">
              <w:t>800 ед.</w:t>
            </w:r>
          </w:p>
        </w:tc>
        <w:tc>
          <w:tcPr>
            <w:tcW w:w="1615" w:type="dxa"/>
          </w:tcPr>
          <w:p w:rsidR="000110FE" w:rsidRPr="004730E3" w:rsidRDefault="000110FE" w:rsidP="00826666">
            <w:pPr>
              <w:pStyle w:val="consplusnormal"/>
              <w:spacing w:before="0" w:beforeAutospacing="0" w:after="0" w:afterAutospacing="0"/>
              <w:contextualSpacing/>
              <w:jc w:val="both"/>
            </w:pPr>
            <w:r w:rsidRPr="004730E3">
              <w:t>1300 ед.</w:t>
            </w:r>
          </w:p>
        </w:tc>
        <w:tc>
          <w:tcPr>
            <w:tcW w:w="1518" w:type="dxa"/>
          </w:tcPr>
          <w:p w:rsidR="000110FE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1300 ед.</w:t>
            </w:r>
          </w:p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0FE" w:rsidRPr="004730E3" w:rsidRDefault="000110FE" w:rsidP="000110FE">
      <w:pPr>
        <w:pStyle w:val="a3"/>
        <w:spacing w:after="0" w:line="240" w:lineRule="auto"/>
        <w:ind w:left="709" w:hanging="654"/>
        <w:jc w:val="both"/>
        <w:rPr>
          <w:rFonts w:ascii="Times New Roman" w:hAnsi="Times New Roman"/>
          <w:sz w:val="24"/>
          <w:szCs w:val="24"/>
        </w:rPr>
      </w:pPr>
      <w:r w:rsidRPr="004730E3">
        <w:rPr>
          <w:rFonts w:ascii="Times New Roman" w:hAnsi="Times New Roman"/>
          <w:sz w:val="24"/>
          <w:szCs w:val="24"/>
        </w:rPr>
        <w:t>Средний доход (тариф)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0E3">
        <w:rPr>
          <w:rFonts w:ascii="Times New Roman" w:hAnsi="Times New Roman"/>
          <w:sz w:val="24"/>
          <w:szCs w:val="24"/>
        </w:rPr>
        <w:t>услуги №1 в 1-й-2-й года = 250</w:t>
      </w:r>
      <w:r>
        <w:rPr>
          <w:rFonts w:ascii="Times New Roman" w:hAnsi="Times New Roman"/>
          <w:sz w:val="24"/>
          <w:szCs w:val="24"/>
        </w:rPr>
        <w:t xml:space="preserve">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473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0E3">
        <w:rPr>
          <w:rFonts w:ascii="Times New Roman" w:hAnsi="Times New Roman"/>
          <w:sz w:val="24"/>
          <w:szCs w:val="24"/>
        </w:rPr>
        <w:t>р</w:t>
      </w:r>
      <w:proofErr w:type="gramEnd"/>
      <w:r w:rsidRPr="004730E3">
        <w:rPr>
          <w:rFonts w:ascii="Times New Roman" w:hAnsi="Times New Roman"/>
          <w:sz w:val="24"/>
          <w:szCs w:val="24"/>
        </w:rPr>
        <w:t>уб. х 12 мес. = 3000</w:t>
      </w:r>
      <w:r>
        <w:rPr>
          <w:rFonts w:ascii="Times New Roman" w:hAnsi="Times New Roman"/>
          <w:sz w:val="24"/>
          <w:szCs w:val="24"/>
        </w:rPr>
        <w:t xml:space="preserve"> рос. </w:t>
      </w:r>
      <w:r w:rsidRPr="004730E3">
        <w:rPr>
          <w:rFonts w:ascii="Times New Roman" w:hAnsi="Times New Roman"/>
          <w:sz w:val="24"/>
          <w:szCs w:val="24"/>
        </w:rPr>
        <w:t>руб.</w:t>
      </w:r>
    </w:p>
    <w:p w:rsidR="000110FE" w:rsidRDefault="000110FE" w:rsidP="000110FE">
      <w:pPr>
        <w:pStyle w:val="a3"/>
        <w:spacing w:after="0" w:line="240" w:lineRule="auto"/>
        <w:ind w:left="709" w:hanging="654"/>
        <w:jc w:val="both"/>
        <w:rPr>
          <w:rFonts w:ascii="Times New Roman" w:hAnsi="Times New Roman"/>
          <w:sz w:val="24"/>
          <w:szCs w:val="24"/>
        </w:rPr>
      </w:pPr>
      <w:r w:rsidRPr="004730E3">
        <w:rPr>
          <w:rFonts w:ascii="Times New Roman" w:hAnsi="Times New Roman"/>
          <w:sz w:val="24"/>
          <w:szCs w:val="24"/>
        </w:rPr>
        <w:t>Средний доход (тариф)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0E3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№1 в </w:t>
      </w:r>
      <w:r w:rsidRPr="004730E3">
        <w:rPr>
          <w:rFonts w:ascii="Times New Roman" w:hAnsi="Times New Roman"/>
          <w:sz w:val="24"/>
          <w:szCs w:val="24"/>
        </w:rPr>
        <w:t>3-й-5-й года = 270</w:t>
      </w:r>
      <w:r>
        <w:rPr>
          <w:rFonts w:ascii="Times New Roman" w:hAnsi="Times New Roman"/>
          <w:sz w:val="24"/>
          <w:szCs w:val="24"/>
        </w:rPr>
        <w:t xml:space="preserve">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4730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30E3">
        <w:rPr>
          <w:rFonts w:ascii="Times New Roman" w:hAnsi="Times New Roman"/>
          <w:sz w:val="24"/>
          <w:szCs w:val="24"/>
        </w:rPr>
        <w:t>р</w:t>
      </w:r>
      <w:proofErr w:type="gramEnd"/>
      <w:r w:rsidRPr="004730E3">
        <w:rPr>
          <w:rFonts w:ascii="Times New Roman" w:hAnsi="Times New Roman"/>
          <w:sz w:val="24"/>
          <w:szCs w:val="24"/>
        </w:rPr>
        <w:t>уб. х 12 мес</w:t>
      </w:r>
      <w:r>
        <w:rPr>
          <w:rFonts w:ascii="Times New Roman" w:hAnsi="Times New Roman"/>
          <w:sz w:val="24"/>
          <w:szCs w:val="24"/>
        </w:rPr>
        <w:t xml:space="preserve">. = 3240 рос. </w:t>
      </w:r>
      <w:r w:rsidRPr="004730E3">
        <w:rPr>
          <w:rFonts w:ascii="Times New Roman" w:hAnsi="Times New Roman"/>
          <w:sz w:val="24"/>
          <w:szCs w:val="24"/>
        </w:rPr>
        <w:t>руб.</w:t>
      </w:r>
    </w:p>
    <w:p w:rsidR="000110FE" w:rsidRPr="002E051C" w:rsidRDefault="000110FE" w:rsidP="000110FE">
      <w:pPr>
        <w:pStyle w:val="a3"/>
        <w:spacing w:after="0" w:line="240" w:lineRule="auto"/>
        <w:ind w:left="709" w:hanging="654"/>
        <w:jc w:val="both"/>
        <w:rPr>
          <w:rFonts w:ascii="Times New Roman" w:hAnsi="Times New Roman"/>
          <w:sz w:val="24"/>
          <w:szCs w:val="24"/>
        </w:rPr>
      </w:pPr>
    </w:p>
    <w:p w:rsidR="000110FE" w:rsidRDefault="000110FE" w:rsidP="000110FE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</w:rPr>
        <w:t>Абонентская плата за доступ к сети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30E3">
        <w:rPr>
          <w:rFonts w:ascii="Times New Roman" w:hAnsi="Times New Roman"/>
          <w:b/>
          <w:sz w:val="24"/>
          <w:szCs w:val="24"/>
        </w:rPr>
        <w:t>Интернет со скоростью 100 Мбит/</w:t>
      </w:r>
      <w:proofErr w:type="gramStart"/>
      <w:r w:rsidRPr="004730E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30E3">
        <w:rPr>
          <w:rFonts w:ascii="Times New Roman" w:hAnsi="Times New Roman"/>
          <w:b/>
          <w:sz w:val="24"/>
          <w:szCs w:val="24"/>
        </w:rPr>
        <w:t>:</w:t>
      </w:r>
    </w:p>
    <w:p w:rsidR="000110FE" w:rsidRPr="004730E3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70" w:type="dxa"/>
        <w:tblInd w:w="392" w:type="dxa"/>
        <w:tblLook w:val="04A0" w:firstRow="1" w:lastRow="0" w:firstColumn="1" w:lastColumn="0" w:noHBand="0" w:noVBand="1"/>
      </w:tblPr>
      <w:tblGrid>
        <w:gridCol w:w="1590"/>
        <w:gridCol w:w="1591"/>
        <w:gridCol w:w="1593"/>
        <w:gridCol w:w="1590"/>
        <w:gridCol w:w="1615"/>
        <w:gridCol w:w="1591"/>
      </w:tblGrid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615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100 ед.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 xml:space="preserve">300 ед.      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600ед.</w:t>
            </w:r>
          </w:p>
        </w:tc>
        <w:tc>
          <w:tcPr>
            <w:tcW w:w="1590" w:type="dxa"/>
          </w:tcPr>
          <w:p w:rsidR="000110FE" w:rsidRPr="00F543B5" w:rsidRDefault="000110FE" w:rsidP="00826666">
            <w:pPr>
              <w:pStyle w:val="consplusnormal"/>
              <w:spacing w:before="0" w:beforeAutospacing="0" w:after="0" w:afterAutospacing="0"/>
              <w:contextualSpacing/>
              <w:jc w:val="both"/>
            </w:pPr>
            <w:r w:rsidRPr="00F543B5">
              <w:t>800 ед.</w:t>
            </w:r>
          </w:p>
        </w:tc>
        <w:tc>
          <w:tcPr>
            <w:tcW w:w="1615" w:type="dxa"/>
          </w:tcPr>
          <w:p w:rsidR="000110FE" w:rsidRPr="00F543B5" w:rsidRDefault="000110FE" w:rsidP="00826666">
            <w:pPr>
              <w:pStyle w:val="consplusnormal"/>
              <w:spacing w:before="0" w:beforeAutospacing="0" w:after="0" w:afterAutospacing="0"/>
              <w:contextualSpacing/>
              <w:jc w:val="both"/>
            </w:pPr>
            <w:r w:rsidRPr="00F543B5">
              <w:t>1300 ед.</w:t>
            </w:r>
          </w:p>
        </w:tc>
        <w:tc>
          <w:tcPr>
            <w:tcW w:w="1591" w:type="dxa"/>
          </w:tcPr>
          <w:p w:rsidR="000110FE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1300 ед.</w:t>
            </w:r>
          </w:p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0FE" w:rsidRDefault="000110FE" w:rsidP="000110FE">
      <w:pPr>
        <w:pStyle w:val="a3"/>
        <w:spacing w:after="0" w:line="240" w:lineRule="auto"/>
        <w:ind w:left="709" w:hanging="654"/>
        <w:jc w:val="both"/>
        <w:rPr>
          <w:rFonts w:ascii="Times New Roman" w:hAnsi="Times New Roman"/>
          <w:sz w:val="24"/>
          <w:szCs w:val="24"/>
        </w:rPr>
      </w:pPr>
      <w:r w:rsidRPr="00F543B5">
        <w:rPr>
          <w:rFonts w:ascii="Times New Roman" w:hAnsi="Times New Roman"/>
          <w:sz w:val="24"/>
          <w:szCs w:val="24"/>
        </w:rPr>
        <w:t xml:space="preserve">Средний доход (тариф) </w:t>
      </w:r>
      <w:r>
        <w:rPr>
          <w:rFonts w:ascii="Times New Roman" w:hAnsi="Times New Roman"/>
          <w:sz w:val="24"/>
          <w:szCs w:val="24"/>
        </w:rPr>
        <w:t>от услуги №1</w:t>
      </w:r>
      <w:r w:rsidRPr="00F543B5">
        <w:rPr>
          <w:rFonts w:ascii="Times New Roman" w:hAnsi="Times New Roman"/>
          <w:sz w:val="24"/>
          <w:szCs w:val="24"/>
        </w:rPr>
        <w:t xml:space="preserve"> в 1-й</w:t>
      </w:r>
      <w:r>
        <w:rPr>
          <w:rFonts w:ascii="Times New Roman" w:hAnsi="Times New Roman"/>
          <w:sz w:val="24"/>
          <w:szCs w:val="24"/>
        </w:rPr>
        <w:t>-2-й года</w:t>
      </w:r>
      <w:r w:rsidRPr="00F543B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350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F543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3B5">
        <w:rPr>
          <w:rFonts w:ascii="Times New Roman" w:hAnsi="Times New Roman"/>
          <w:sz w:val="24"/>
          <w:szCs w:val="24"/>
        </w:rPr>
        <w:t>р</w:t>
      </w:r>
      <w:proofErr w:type="gramEnd"/>
      <w:r w:rsidRPr="00F543B5">
        <w:rPr>
          <w:rFonts w:ascii="Times New Roman" w:hAnsi="Times New Roman"/>
          <w:sz w:val="24"/>
          <w:szCs w:val="24"/>
        </w:rPr>
        <w:t xml:space="preserve">уб. х 12 мес. = </w:t>
      </w:r>
      <w:r>
        <w:rPr>
          <w:rFonts w:ascii="Times New Roman" w:hAnsi="Times New Roman"/>
          <w:sz w:val="24"/>
          <w:szCs w:val="24"/>
        </w:rPr>
        <w:t>4200 рос. р</w:t>
      </w:r>
      <w:r w:rsidRPr="00F543B5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</w:p>
    <w:p w:rsidR="000110FE" w:rsidRDefault="000110FE" w:rsidP="000110FE">
      <w:pPr>
        <w:pStyle w:val="a3"/>
        <w:spacing w:after="0" w:line="240" w:lineRule="auto"/>
        <w:ind w:left="709" w:hanging="654"/>
        <w:jc w:val="both"/>
        <w:rPr>
          <w:rFonts w:ascii="Times New Roman" w:hAnsi="Times New Roman"/>
          <w:sz w:val="28"/>
          <w:szCs w:val="28"/>
        </w:rPr>
      </w:pPr>
      <w:r w:rsidRPr="00F543B5">
        <w:rPr>
          <w:rFonts w:ascii="Times New Roman" w:hAnsi="Times New Roman"/>
          <w:sz w:val="24"/>
          <w:szCs w:val="24"/>
        </w:rPr>
        <w:t xml:space="preserve">Средний доход (тариф) </w:t>
      </w:r>
      <w:r>
        <w:rPr>
          <w:rFonts w:ascii="Times New Roman" w:hAnsi="Times New Roman"/>
          <w:sz w:val="24"/>
          <w:szCs w:val="24"/>
        </w:rPr>
        <w:t>от услуги №1 в 3</w:t>
      </w:r>
      <w:r w:rsidRPr="00F543B5">
        <w:rPr>
          <w:rFonts w:ascii="Times New Roman" w:hAnsi="Times New Roman"/>
          <w:sz w:val="24"/>
          <w:szCs w:val="24"/>
        </w:rPr>
        <w:t>-й</w:t>
      </w:r>
      <w:r>
        <w:rPr>
          <w:rFonts w:ascii="Times New Roman" w:hAnsi="Times New Roman"/>
          <w:sz w:val="24"/>
          <w:szCs w:val="24"/>
        </w:rPr>
        <w:t>-5-й года</w:t>
      </w:r>
      <w:r w:rsidRPr="00F543B5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370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Pr="00F543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3B5">
        <w:rPr>
          <w:rFonts w:ascii="Times New Roman" w:hAnsi="Times New Roman"/>
          <w:sz w:val="24"/>
          <w:szCs w:val="24"/>
        </w:rPr>
        <w:t>р</w:t>
      </w:r>
      <w:proofErr w:type="gramEnd"/>
      <w:r w:rsidRPr="00F543B5">
        <w:rPr>
          <w:rFonts w:ascii="Times New Roman" w:hAnsi="Times New Roman"/>
          <w:sz w:val="24"/>
          <w:szCs w:val="24"/>
        </w:rPr>
        <w:t xml:space="preserve">уб. х 12 мес. = </w:t>
      </w:r>
      <w:r>
        <w:rPr>
          <w:rFonts w:ascii="Times New Roman" w:hAnsi="Times New Roman"/>
          <w:sz w:val="24"/>
          <w:szCs w:val="24"/>
        </w:rPr>
        <w:t>4440 рос. р</w:t>
      </w:r>
      <w:r w:rsidRPr="00F543B5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</w:t>
      </w:r>
    </w:p>
    <w:p w:rsidR="000110FE" w:rsidRPr="002E051C" w:rsidRDefault="000110FE" w:rsidP="000110FE">
      <w:pPr>
        <w:pStyle w:val="a3"/>
        <w:spacing w:after="0" w:line="240" w:lineRule="auto"/>
        <w:ind w:left="709" w:hanging="654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Доходы от предоставления услуг</w:t>
      </w:r>
      <w:r>
        <w:rPr>
          <w:rFonts w:ascii="Times New Roman" w:hAnsi="Times New Roman"/>
          <w:b/>
          <w:sz w:val="28"/>
          <w:szCs w:val="28"/>
        </w:rPr>
        <w:t>»</w:t>
      </w:r>
      <w:r w:rsidRPr="00DC6592">
        <w:rPr>
          <w:rFonts w:ascii="Times New Roman" w:hAnsi="Times New Roman"/>
          <w:b/>
          <w:sz w:val="28"/>
          <w:szCs w:val="28"/>
        </w:rPr>
        <w:t xml:space="preserve"> </w:t>
      </w:r>
      <w:r w:rsidRPr="00500B5A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35A7">
        <w:rPr>
          <w:rFonts w:ascii="Times New Roman" w:hAnsi="Times New Roman"/>
          <w:sz w:val="28"/>
          <w:szCs w:val="28"/>
        </w:rPr>
        <w:t>это</w:t>
      </w:r>
      <w:r w:rsidRPr="00500B5A">
        <w:rPr>
          <w:rFonts w:ascii="Times New Roman" w:hAnsi="Times New Roman"/>
          <w:b/>
          <w:sz w:val="28"/>
          <w:szCs w:val="28"/>
        </w:rPr>
        <w:t xml:space="preserve"> </w:t>
      </w:r>
      <w:r w:rsidRPr="00500B5A">
        <w:rPr>
          <w:rFonts w:ascii="Times New Roman" w:hAnsi="Times New Roman"/>
          <w:sz w:val="28"/>
          <w:szCs w:val="28"/>
        </w:rPr>
        <w:t>доходы юридического</w:t>
      </w:r>
      <w:r>
        <w:rPr>
          <w:rFonts w:ascii="Times New Roman" w:hAnsi="Times New Roman"/>
          <w:sz w:val="28"/>
          <w:szCs w:val="28"/>
        </w:rPr>
        <w:t xml:space="preserve"> лица</w:t>
      </w:r>
      <w:r w:rsidRPr="00500B5A">
        <w:rPr>
          <w:rFonts w:ascii="Times New Roman" w:hAnsi="Times New Roman"/>
          <w:sz w:val="28"/>
          <w:szCs w:val="28"/>
        </w:rPr>
        <w:t>/физического лица</w:t>
      </w:r>
      <w:r>
        <w:rPr>
          <w:rFonts w:ascii="Times New Roman" w:hAnsi="Times New Roman"/>
          <w:sz w:val="28"/>
          <w:szCs w:val="28"/>
        </w:rPr>
        <w:t>-предпринимателя</w:t>
      </w:r>
      <w:r w:rsidRPr="00500B5A">
        <w:rPr>
          <w:rFonts w:ascii="Times New Roman" w:hAnsi="Times New Roman"/>
          <w:sz w:val="28"/>
          <w:szCs w:val="28"/>
        </w:rPr>
        <w:t xml:space="preserve"> в динамике. Рассчитываются путем перемножения дохода от одной услуги на планируемое количество пользователей данной услуги. Общие доходы суммируются из разовых (подключение), постоянных (платы за пользование), дополнительных в рамках лицензируемой телекоммуникационной услуги (например, переоформление договора при смене фамилии, вызов специалиста для установки программного обеспечения и т.д.) и </w:t>
      </w:r>
      <w:proofErr w:type="spellStart"/>
      <w:r w:rsidRPr="00500B5A">
        <w:rPr>
          <w:rFonts w:ascii="Times New Roman" w:hAnsi="Times New Roman"/>
          <w:sz w:val="28"/>
          <w:szCs w:val="28"/>
        </w:rPr>
        <w:t>прочихот</w:t>
      </w:r>
      <w:proofErr w:type="spellEnd"/>
      <w:r w:rsidRPr="00500B5A">
        <w:rPr>
          <w:rFonts w:ascii="Times New Roman" w:hAnsi="Times New Roman"/>
          <w:sz w:val="28"/>
          <w:szCs w:val="28"/>
        </w:rPr>
        <w:t xml:space="preserve"> технологических партнеров (за присоединение к сети, пропуск трафика и т.д.). </w:t>
      </w:r>
    </w:p>
    <w:p w:rsidR="000110FE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0FE" w:rsidRPr="00D626BD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8"/>
          <w:szCs w:val="8"/>
        </w:rPr>
      </w:pPr>
    </w:p>
    <w:p w:rsidR="000110FE" w:rsidRDefault="000110FE" w:rsidP="00011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C6592">
        <w:rPr>
          <w:rFonts w:ascii="Times New Roman" w:hAnsi="Times New Roman"/>
          <w:b/>
          <w:sz w:val="28"/>
          <w:szCs w:val="28"/>
        </w:rPr>
        <w:t>ПРИМЕР</w:t>
      </w:r>
      <w:r w:rsidRPr="00DC6592">
        <w:rPr>
          <w:rFonts w:ascii="Times New Roman" w:hAnsi="Times New Roman"/>
          <w:sz w:val="28"/>
          <w:szCs w:val="28"/>
        </w:rPr>
        <w:t>:</w:t>
      </w:r>
    </w:p>
    <w:p w:rsidR="000110FE" w:rsidRDefault="000110FE" w:rsidP="000110FE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3B5">
        <w:rPr>
          <w:rFonts w:ascii="Times New Roman" w:hAnsi="Times New Roman"/>
          <w:b/>
          <w:sz w:val="24"/>
          <w:szCs w:val="24"/>
          <w:u w:val="single"/>
        </w:rPr>
        <w:t>Разовые доходы</w:t>
      </w:r>
    </w:p>
    <w:p w:rsidR="000110FE" w:rsidRPr="001916EB" w:rsidRDefault="000110FE" w:rsidP="000110FE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110FE" w:rsidRPr="004730E3" w:rsidRDefault="000110FE" w:rsidP="000110FE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</w:rPr>
        <w:t>Подключение к сети оператора:</w:t>
      </w: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1590"/>
        <w:gridCol w:w="1591"/>
        <w:gridCol w:w="1593"/>
        <w:gridCol w:w="1590"/>
        <w:gridCol w:w="1432"/>
        <w:gridCol w:w="1418"/>
      </w:tblGrid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i/>
                <w:sz w:val="24"/>
                <w:szCs w:val="24"/>
              </w:rPr>
              <w:t>1 год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i/>
                <w:sz w:val="24"/>
                <w:szCs w:val="24"/>
              </w:rPr>
              <w:t>2 год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i/>
                <w:sz w:val="24"/>
                <w:szCs w:val="24"/>
              </w:rPr>
              <w:t>3 год</w:t>
            </w:r>
          </w:p>
        </w:tc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i/>
                <w:sz w:val="24"/>
                <w:szCs w:val="24"/>
              </w:rPr>
              <w:t>4 год</w:t>
            </w:r>
          </w:p>
        </w:tc>
        <w:tc>
          <w:tcPr>
            <w:tcW w:w="1432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i/>
                <w:sz w:val="24"/>
                <w:szCs w:val="24"/>
              </w:rPr>
              <w:t>5 год</w:t>
            </w:r>
          </w:p>
        </w:tc>
        <w:tc>
          <w:tcPr>
            <w:tcW w:w="1418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36000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000  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32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000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8" w:type="dxa"/>
          </w:tcPr>
          <w:p w:rsidR="000110FE" w:rsidRDefault="000110FE" w:rsidP="0082666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000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110FE" w:rsidRPr="00243973" w:rsidRDefault="000110FE" w:rsidP="00826666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0FE" w:rsidRPr="00D626BD" w:rsidRDefault="000110FE" w:rsidP="000110FE">
      <w:pPr>
        <w:spacing w:after="0" w:line="240" w:lineRule="auto"/>
        <w:ind w:left="567"/>
        <w:jc w:val="both"/>
        <w:rPr>
          <w:rFonts w:ascii="Times New Roman" w:hAnsi="Times New Roman"/>
          <w:b/>
          <w:sz w:val="8"/>
          <w:szCs w:val="8"/>
          <w:u w:val="single"/>
        </w:rPr>
      </w:pPr>
    </w:p>
    <w:p w:rsidR="000110FE" w:rsidRDefault="000110FE" w:rsidP="000110FE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3B5">
        <w:rPr>
          <w:rFonts w:ascii="Times New Roman" w:hAnsi="Times New Roman"/>
          <w:b/>
          <w:sz w:val="24"/>
          <w:szCs w:val="24"/>
          <w:u w:val="single"/>
        </w:rPr>
        <w:t>Постоянные доходы</w:t>
      </w:r>
    </w:p>
    <w:p w:rsidR="000110FE" w:rsidRPr="001916EB" w:rsidRDefault="000110FE" w:rsidP="000110FE">
      <w:pPr>
        <w:spacing w:after="0" w:line="240" w:lineRule="auto"/>
        <w:ind w:left="567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0110FE" w:rsidRPr="004730E3" w:rsidRDefault="000110FE" w:rsidP="000110FE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</w:rPr>
        <w:t>Абонентская плата за доступ к сети Интернет со скоростью 60 Мбит/</w:t>
      </w:r>
      <w:proofErr w:type="gramStart"/>
      <w:r w:rsidRPr="004730E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30E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0" w:type="dxa"/>
        <w:tblInd w:w="392" w:type="dxa"/>
        <w:tblLook w:val="04A0" w:firstRow="1" w:lastRow="0" w:firstColumn="1" w:lastColumn="0" w:noHBand="0" w:noVBand="1"/>
      </w:tblPr>
      <w:tblGrid>
        <w:gridCol w:w="1590"/>
        <w:gridCol w:w="1591"/>
        <w:gridCol w:w="1593"/>
        <w:gridCol w:w="1590"/>
        <w:gridCol w:w="1615"/>
        <w:gridCol w:w="1591"/>
      </w:tblGrid>
      <w:tr w:rsidR="000110FE" w:rsidRPr="00243973" w:rsidTr="00826666"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615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110FE" w:rsidRPr="00243973" w:rsidTr="00826666">
        <w:trPr>
          <w:trHeight w:val="590"/>
        </w:trPr>
        <w:tc>
          <w:tcPr>
            <w:tcW w:w="1590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91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900000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1944000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90" w:type="dxa"/>
          </w:tcPr>
          <w:p w:rsidR="000110FE" w:rsidRPr="004730E3" w:rsidRDefault="000110FE" w:rsidP="00826666">
            <w:pPr>
              <w:pStyle w:val="consplusnormal"/>
              <w:spacing w:before="0" w:beforeAutospacing="0" w:after="0" w:afterAutospacing="0"/>
              <w:contextualSpacing/>
            </w:pPr>
            <w:r w:rsidRPr="004730E3">
              <w:t>2592000</w:t>
            </w:r>
            <w:r>
              <w:t xml:space="preserve">   рос</w:t>
            </w:r>
            <w:proofErr w:type="gramStart"/>
            <w:r>
              <w:t>.</w:t>
            </w:r>
            <w:proofErr w:type="gramEnd"/>
            <w:r w:rsidRPr="004730E3">
              <w:t xml:space="preserve"> </w:t>
            </w:r>
            <w:proofErr w:type="gramStart"/>
            <w:r w:rsidRPr="004730E3">
              <w:t>р</w:t>
            </w:r>
            <w:proofErr w:type="gramEnd"/>
            <w:r w:rsidRPr="004730E3">
              <w:t>уб.</w:t>
            </w:r>
          </w:p>
        </w:tc>
        <w:tc>
          <w:tcPr>
            <w:tcW w:w="1615" w:type="dxa"/>
          </w:tcPr>
          <w:p w:rsidR="000110FE" w:rsidRPr="004730E3" w:rsidRDefault="000110FE" w:rsidP="00826666">
            <w:pPr>
              <w:pStyle w:val="consplusnormal"/>
              <w:spacing w:before="0" w:beforeAutospacing="0" w:after="0" w:afterAutospacing="0"/>
              <w:contextualSpacing/>
            </w:pPr>
            <w:r w:rsidRPr="004730E3">
              <w:t>4212000</w:t>
            </w:r>
            <w:r>
              <w:t xml:space="preserve">   рос</w:t>
            </w:r>
            <w:proofErr w:type="gramStart"/>
            <w:r>
              <w:t>.</w:t>
            </w:r>
            <w:proofErr w:type="gramEnd"/>
            <w:r w:rsidRPr="004730E3">
              <w:t xml:space="preserve"> </w:t>
            </w:r>
            <w:proofErr w:type="gramStart"/>
            <w:r w:rsidRPr="004730E3">
              <w:t>р</w:t>
            </w:r>
            <w:proofErr w:type="gramEnd"/>
            <w:r w:rsidRPr="004730E3">
              <w:t>уб.</w:t>
            </w:r>
          </w:p>
        </w:tc>
        <w:tc>
          <w:tcPr>
            <w:tcW w:w="1591" w:type="dxa"/>
          </w:tcPr>
          <w:p w:rsidR="000110FE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9948000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110FE" w:rsidRPr="00243973" w:rsidRDefault="000110FE" w:rsidP="00826666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0110FE" w:rsidRPr="009B70DC" w:rsidRDefault="000110FE" w:rsidP="000110F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9B70DC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0110FE" w:rsidRDefault="000110FE" w:rsidP="000110FE">
      <w:pPr>
        <w:pStyle w:val="a3"/>
        <w:spacing w:after="0" w:line="240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</w:p>
    <w:p w:rsidR="000110FE" w:rsidRPr="004730E3" w:rsidRDefault="000110FE" w:rsidP="000110F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4730E3">
        <w:rPr>
          <w:rFonts w:ascii="Times New Roman" w:hAnsi="Times New Roman"/>
          <w:b/>
          <w:sz w:val="24"/>
          <w:szCs w:val="24"/>
        </w:rPr>
        <w:t>Абонентская плата за доступ к сети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30E3">
        <w:rPr>
          <w:rFonts w:ascii="Times New Roman" w:hAnsi="Times New Roman"/>
          <w:b/>
          <w:sz w:val="24"/>
          <w:szCs w:val="24"/>
        </w:rPr>
        <w:t>Интернет со скоростью 100 Мбит/</w:t>
      </w:r>
      <w:proofErr w:type="gramStart"/>
      <w:r w:rsidRPr="004730E3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4730E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0" w:type="dxa"/>
        <w:tblInd w:w="392" w:type="dxa"/>
        <w:tblLook w:val="04A0" w:firstRow="1" w:lastRow="0" w:firstColumn="1" w:lastColumn="0" w:noHBand="0" w:noVBand="1"/>
      </w:tblPr>
      <w:tblGrid>
        <w:gridCol w:w="1506"/>
        <w:gridCol w:w="1515"/>
        <w:gridCol w:w="1509"/>
        <w:gridCol w:w="1507"/>
        <w:gridCol w:w="1528"/>
        <w:gridCol w:w="2005"/>
      </w:tblGrid>
      <w:tr w:rsidR="000110FE" w:rsidRPr="00243973" w:rsidTr="00826666">
        <w:trPr>
          <w:trHeight w:val="226"/>
        </w:trPr>
        <w:tc>
          <w:tcPr>
            <w:tcW w:w="1506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515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509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07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28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2005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9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110FE" w:rsidRPr="00243973" w:rsidTr="00826666">
        <w:tc>
          <w:tcPr>
            <w:tcW w:w="1506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420000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15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1260000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 xml:space="preserve">уб.      </w:t>
            </w:r>
          </w:p>
        </w:tc>
        <w:tc>
          <w:tcPr>
            <w:tcW w:w="1509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2664000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07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3552000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528" w:type="dxa"/>
          </w:tcPr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3973">
              <w:rPr>
                <w:rFonts w:ascii="Times New Roman" w:hAnsi="Times New Roman"/>
                <w:sz w:val="24"/>
                <w:szCs w:val="24"/>
              </w:rPr>
              <w:t>5772000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005" w:type="dxa"/>
          </w:tcPr>
          <w:p w:rsidR="000110FE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13668000        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39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4397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110FE" w:rsidRPr="00243973" w:rsidRDefault="000110FE" w:rsidP="008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0FE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Операционные расходы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DC6592">
        <w:rPr>
          <w:rFonts w:ascii="Times New Roman" w:hAnsi="Times New Roman"/>
          <w:b/>
          <w:sz w:val="28"/>
          <w:szCs w:val="28"/>
        </w:rPr>
        <w:t xml:space="preserve"> - </w:t>
      </w:r>
      <w:r w:rsidRPr="00DC6592">
        <w:rPr>
          <w:rFonts w:ascii="Times New Roman" w:hAnsi="Times New Roman"/>
          <w:sz w:val="28"/>
          <w:szCs w:val="28"/>
        </w:rPr>
        <w:t xml:space="preserve">текущие расходы </w:t>
      </w:r>
      <w:r>
        <w:rPr>
          <w:rFonts w:ascii="Times New Roman" w:hAnsi="Times New Roman"/>
          <w:sz w:val="28"/>
          <w:szCs w:val="28"/>
        </w:rPr>
        <w:t>юридического лица/физического лица-предпринимателя</w:t>
      </w:r>
      <w:r w:rsidRPr="00DC6592">
        <w:rPr>
          <w:rFonts w:ascii="Times New Roman" w:hAnsi="Times New Roman"/>
          <w:sz w:val="28"/>
          <w:szCs w:val="28"/>
        </w:rPr>
        <w:t xml:space="preserve">, связанные с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Pr="00DC6592">
        <w:rPr>
          <w:rFonts w:ascii="Times New Roman" w:hAnsi="Times New Roman"/>
          <w:sz w:val="28"/>
          <w:szCs w:val="28"/>
        </w:rPr>
        <w:t xml:space="preserve"> услуг с </w:t>
      </w:r>
      <w:r>
        <w:rPr>
          <w:rFonts w:ascii="Times New Roman" w:hAnsi="Times New Roman"/>
          <w:sz w:val="28"/>
          <w:szCs w:val="28"/>
        </w:rPr>
        <w:t>раз</w:t>
      </w:r>
      <w:r w:rsidRPr="00DC6592">
        <w:rPr>
          <w:rFonts w:ascii="Times New Roman" w:hAnsi="Times New Roman"/>
          <w:sz w:val="28"/>
          <w:szCs w:val="28"/>
        </w:rPr>
        <w:t>делением их по годам. В состав затрат на оплату труда включается</w:t>
      </w:r>
      <w:r>
        <w:rPr>
          <w:rFonts w:ascii="Times New Roman" w:hAnsi="Times New Roman"/>
          <w:sz w:val="28"/>
          <w:szCs w:val="28"/>
        </w:rPr>
        <w:t>:</w:t>
      </w:r>
      <w:r w:rsidRPr="00DC6592">
        <w:rPr>
          <w:rFonts w:ascii="Times New Roman" w:hAnsi="Times New Roman"/>
          <w:sz w:val="28"/>
          <w:szCs w:val="28"/>
        </w:rPr>
        <w:t xml:space="preserve"> </w:t>
      </w:r>
    </w:p>
    <w:p w:rsidR="000110F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0FE" w:rsidRPr="005A0A8E" w:rsidRDefault="000110FE" w:rsidP="000110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A8E">
        <w:rPr>
          <w:rFonts w:ascii="Times New Roman" w:hAnsi="Times New Roman"/>
          <w:sz w:val="28"/>
          <w:szCs w:val="28"/>
        </w:rPr>
        <w:t>заработная плата персонала по тарифным ставкам (окладам) и сдельным расценкам, доплаты, надбавки, гарантийные и компенсационные выплаты,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A8E">
        <w:rPr>
          <w:rFonts w:ascii="Times New Roman" w:hAnsi="Times New Roman"/>
          <w:sz w:val="28"/>
          <w:szCs w:val="28"/>
        </w:rPr>
        <w:t>предусмотренные законодательством, премии и иные поощрительные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A8E">
        <w:rPr>
          <w:rFonts w:ascii="Times New Roman" w:hAnsi="Times New Roman"/>
          <w:sz w:val="28"/>
          <w:szCs w:val="28"/>
        </w:rPr>
        <w:t>компенсационные выплаты, связанные с выполнением производственных заданий и функций.</w:t>
      </w:r>
    </w:p>
    <w:p w:rsidR="000110FE" w:rsidRPr="00DC6592" w:rsidRDefault="000110FE" w:rsidP="00011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Обязательные н</w:t>
      </w:r>
      <w:r w:rsidRPr="00DC6592">
        <w:rPr>
          <w:rFonts w:ascii="Times New Roman" w:hAnsi="Times New Roman"/>
          <w:sz w:val="28"/>
          <w:szCs w:val="28"/>
        </w:rPr>
        <w:t>ачислени</w:t>
      </w:r>
      <w:r>
        <w:rPr>
          <w:rFonts w:ascii="Times New Roman" w:hAnsi="Times New Roman"/>
          <w:sz w:val="28"/>
          <w:szCs w:val="28"/>
        </w:rPr>
        <w:t>я</w:t>
      </w:r>
      <w:r w:rsidRPr="00DC6592">
        <w:rPr>
          <w:rFonts w:ascii="Times New Roman" w:hAnsi="Times New Roman"/>
          <w:sz w:val="28"/>
          <w:szCs w:val="28"/>
        </w:rPr>
        <w:t xml:space="preserve"> на оплату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592">
        <w:rPr>
          <w:rFonts w:ascii="Times New Roman" w:hAnsi="Times New Roman"/>
          <w:sz w:val="28"/>
          <w:szCs w:val="28"/>
        </w:rPr>
        <w:t>согласно действующему законодательству (единый взнос на общеобязательное государственное социальное страхование).</w:t>
      </w:r>
    </w:p>
    <w:p w:rsidR="000110FE" w:rsidRPr="00DC6592" w:rsidRDefault="000110FE" w:rsidP="000110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6592">
        <w:rPr>
          <w:rFonts w:ascii="Times New Roman" w:hAnsi="Times New Roman"/>
          <w:sz w:val="28"/>
          <w:szCs w:val="28"/>
        </w:rPr>
        <w:t>В состав материальных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592">
        <w:rPr>
          <w:rFonts w:ascii="Times New Roman" w:hAnsi="Times New Roman"/>
          <w:sz w:val="28"/>
          <w:szCs w:val="28"/>
        </w:rPr>
        <w:t>затрат включаются затраты, связанные с использованием материалов, запасных частей, приобретен</w:t>
      </w:r>
      <w:r>
        <w:rPr>
          <w:rFonts w:ascii="Times New Roman" w:hAnsi="Times New Roman"/>
          <w:sz w:val="28"/>
          <w:szCs w:val="28"/>
        </w:rPr>
        <w:t>ием</w:t>
      </w:r>
      <w:r w:rsidRPr="00DC6592">
        <w:rPr>
          <w:rFonts w:ascii="Times New Roman" w:hAnsi="Times New Roman"/>
          <w:sz w:val="28"/>
          <w:szCs w:val="28"/>
        </w:rPr>
        <w:t xml:space="preserve"> комплектующих изделий, топлива и энергии, тары и других материалов, необходимых для обеспечения </w:t>
      </w:r>
      <w:r>
        <w:rPr>
          <w:rFonts w:ascii="Times New Roman" w:hAnsi="Times New Roman"/>
          <w:sz w:val="28"/>
          <w:szCs w:val="28"/>
        </w:rPr>
        <w:t>при предоставлении услуг</w:t>
      </w:r>
      <w:r w:rsidRPr="00DC6592">
        <w:rPr>
          <w:rFonts w:ascii="Times New Roman" w:hAnsi="Times New Roman"/>
          <w:sz w:val="28"/>
          <w:szCs w:val="28"/>
        </w:rPr>
        <w:t xml:space="preserve">. </w:t>
      </w:r>
    </w:p>
    <w:p w:rsidR="000110FE" w:rsidRPr="00DC6592" w:rsidRDefault="000110FE" w:rsidP="000110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C6592">
        <w:rPr>
          <w:rFonts w:ascii="Times New Roman" w:hAnsi="Times New Roman"/>
          <w:sz w:val="28"/>
          <w:szCs w:val="28"/>
        </w:rPr>
        <w:t xml:space="preserve">К амортизации относятся затраты на амортизацию необоротных активов, которые участвуют в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предоставления</w:t>
      </w:r>
      <w:r w:rsidRPr="00DC6592">
        <w:rPr>
          <w:rFonts w:ascii="Times New Roman" w:hAnsi="Times New Roman"/>
          <w:sz w:val="28"/>
          <w:szCs w:val="28"/>
        </w:rPr>
        <w:t xml:space="preserve"> услуги.</w:t>
      </w:r>
    </w:p>
    <w:p w:rsidR="000110FE" w:rsidRPr="00DC6592" w:rsidRDefault="000110FE" w:rsidP="000110FE">
      <w:pPr>
        <w:pStyle w:val="a3"/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DC6592">
        <w:rPr>
          <w:rFonts w:ascii="Times New Roman" w:hAnsi="Times New Roman"/>
          <w:sz w:val="28"/>
          <w:szCs w:val="28"/>
        </w:rPr>
        <w:t>Расчеты с технологическими партнерами – технологиче</w:t>
      </w:r>
      <w:r>
        <w:rPr>
          <w:rFonts w:ascii="Times New Roman" w:hAnsi="Times New Roman"/>
          <w:sz w:val="28"/>
          <w:szCs w:val="28"/>
        </w:rPr>
        <w:t xml:space="preserve">ские затраты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услуги (</w:t>
      </w:r>
      <w:r w:rsidRPr="00DC6592">
        <w:rPr>
          <w:rFonts w:ascii="Times New Roman" w:hAnsi="Times New Roman"/>
          <w:sz w:val="28"/>
          <w:szCs w:val="28"/>
        </w:rPr>
        <w:t>аренда линейно-кабельных сооружений и коммутационного оборудования, аренда каналов, расчеты за пропуск трафика и т.д.</w:t>
      </w:r>
      <w:r>
        <w:rPr>
          <w:rFonts w:ascii="Times New Roman" w:hAnsi="Times New Roman"/>
          <w:sz w:val="28"/>
          <w:szCs w:val="28"/>
        </w:rPr>
        <w:t>)</w:t>
      </w:r>
    </w:p>
    <w:p w:rsidR="000110FE" w:rsidRDefault="000110FE" w:rsidP="00011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6592">
        <w:rPr>
          <w:rFonts w:ascii="Times New Roman" w:hAnsi="Times New Roman"/>
          <w:sz w:val="28"/>
          <w:szCs w:val="28"/>
        </w:rPr>
        <w:t xml:space="preserve">В состав прочих затрат включаются затраты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DC6592">
        <w:rPr>
          <w:rFonts w:ascii="Times New Roman" w:hAnsi="Times New Roman"/>
          <w:sz w:val="28"/>
          <w:szCs w:val="28"/>
        </w:rPr>
        <w:t xml:space="preserve"> услуги, не вошедшие в предыдущие статьи (затраты на командировки, плата за расчетно-кассовое обслуживание, плата сторонним организациям за работы и услуги по обслуживанию деятельности, затраты на текущий ремонт и т.д.).</w:t>
      </w:r>
    </w:p>
    <w:p w:rsidR="000110FE" w:rsidRPr="002E051C" w:rsidRDefault="000110FE" w:rsidP="00011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Расчетный финансовый результат до налогообложения (прибыль/убыток)</w:t>
      </w:r>
      <w:r>
        <w:rPr>
          <w:rFonts w:ascii="Times New Roman" w:hAnsi="Times New Roman"/>
          <w:b/>
          <w:sz w:val="28"/>
          <w:szCs w:val="28"/>
        </w:rPr>
        <w:t>»</w:t>
      </w:r>
      <w:r w:rsidRPr="00DC6592">
        <w:rPr>
          <w:rFonts w:ascii="Times New Roman" w:hAnsi="Times New Roman"/>
          <w:b/>
          <w:sz w:val="28"/>
          <w:szCs w:val="28"/>
        </w:rPr>
        <w:t xml:space="preserve"> – </w:t>
      </w:r>
      <w:r w:rsidRPr="00DC6592">
        <w:rPr>
          <w:rFonts w:ascii="Times New Roman" w:hAnsi="Times New Roman"/>
          <w:sz w:val="28"/>
          <w:szCs w:val="28"/>
        </w:rPr>
        <w:t>расчетный результат деятельности, определенный как разница между доходами и операционными расходами.</w:t>
      </w:r>
    </w:p>
    <w:p w:rsidR="000110FE" w:rsidRPr="002E051C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Налог на п</w:t>
      </w:r>
      <w:r>
        <w:rPr>
          <w:rFonts w:ascii="Times New Roman" w:hAnsi="Times New Roman"/>
          <w:b/>
          <w:sz w:val="28"/>
          <w:szCs w:val="28"/>
        </w:rPr>
        <w:t>рибыль (Единый налог для физического лица-предпринимателя)»</w:t>
      </w:r>
      <w:r w:rsidRPr="00DC6592">
        <w:rPr>
          <w:rFonts w:ascii="Times New Roman" w:hAnsi="Times New Roman"/>
          <w:b/>
          <w:sz w:val="28"/>
          <w:szCs w:val="28"/>
        </w:rPr>
        <w:t xml:space="preserve"> – </w:t>
      </w:r>
      <w:r w:rsidRPr="00B72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сумма, рассчитанная по налоговой ставке согласно действующему законодательству</w:t>
      </w:r>
      <w:r w:rsidRPr="00B72BBB">
        <w:rPr>
          <w:rFonts w:ascii="Times New Roman" w:hAnsi="Times New Roman"/>
          <w:sz w:val="28"/>
          <w:szCs w:val="28"/>
        </w:rPr>
        <w:t>.</w:t>
      </w:r>
    </w:p>
    <w:p w:rsidR="000110FE" w:rsidRPr="002E051C" w:rsidRDefault="000110FE" w:rsidP="000110F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Расчетный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C6592">
        <w:rPr>
          <w:rFonts w:ascii="Times New Roman" w:hAnsi="Times New Roman"/>
          <w:b/>
          <w:sz w:val="28"/>
          <w:szCs w:val="28"/>
        </w:rPr>
        <w:t>чистый финансовый результат (прибыль/убыток)</w:t>
      </w:r>
      <w:r>
        <w:rPr>
          <w:rFonts w:ascii="Times New Roman" w:hAnsi="Times New Roman"/>
          <w:b/>
          <w:sz w:val="28"/>
          <w:szCs w:val="28"/>
        </w:rPr>
        <w:t>»</w:t>
      </w:r>
      <w:r w:rsidRPr="00DC6592">
        <w:rPr>
          <w:rFonts w:ascii="Times New Roman" w:hAnsi="Times New Roman"/>
          <w:b/>
          <w:sz w:val="28"/>
          <w:szCs w:val="28"/>
        </w:rPr>
        <w:t xml:space="preserve"> – </w:t>
      </w:r>
      <w:r w:rsidRPr="00DC6592">
        <w:rPr>
          <w:rFonts w:ascii="Times New Roman" w:hAnsi="Times New Roman"/>
          <w:sz w:val="28"/>
          <w:szCs w:val="28"/>
        </w:rPr>
        <w:t xml:space="preserve">разница между финансовым результатом до налогообложения и </w:t>
      </w:r>
      <w:r>
        <w:rPr>
          <w:rFonts w:ascii="Times New Roman" w:hAnsi="Times New Roman"/>
          <w:sz w:val="28"/>
          <w:szCs w:val="28"/>
        </w:rPr>
        <w:t>суммой налоговых начислений.</w:t>
      </w:r>
    </w:p>
    <w:p w:rsidR="000110FE" w:rsidRDefault="000110FE" w:rsidP="000110F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p w:rsidR="000110FE" w:rsidRPr="002E051C" w:rsidRDefault="000110FE" w:rsidP="000110FE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0110FE" w:rsidRPr="00DC6592" w:rsidRDefault="000110FE" w:rsidP="000110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DC6592">
        <w:rPr>
          <w:rFonts w:ascii="Times New Roman" w:hAnsi="Times New Roman"/>
          <w:b/>
          <w:sz w:val="28"/>
          <w:szCs w:val="28"/>
        </w:rPr>
        <w:t>Чистый денежный поток</w:t>
      </w:r>
      <w:r>
        <w:rPr>
          <w:rFonts w:ascii="Times New Roman" w:hAnsi="Times New Roman"/>
          <w:b/>
          <w:sz w:val="28"/>
          <w:szCs w:val="28"/>
        </w:rPr>
        <w:t>»</w:t>
      </w:r>
      <w:r w:rsidRPr="00DC6592">
        <w:rPr>
          <w:rFonts w:ascii="Times New Roman" w:hAnsi="Times New Roman"/>
          <w:sz w:val="28"/>
          <w:szCs w:val="28"/>
        </w:rPr>
        <w:t xml:space="preserve"> – разниц</w:t>
      </w:r>
      <w:r>
        <w:rPr>
          <w:rFonts w:ascii="Times New Roman" w:hAnsi="Times New Roman"/>
          <w:sz w:val="28"/>
          <w:szCs w:val="28"/>
        </w:rPr>
        <w:t>а</w:t>
      </w:r>
      <w:r w:rsidRPr="00DC6592">
        <w:rPr>
          <w:rFonts w:ascii="Times New Roman" w:hAnsi="Times New Roman"/>
          <w:sz w:val="28"/>
          <w:szCs w:val="28"/>
        </w:rPr>
        <w:t xml:space="preserve"> между положительным и отрицательным денежным потоком за выбранный промежуток времени, рассчитывается</w:t>
      </w:r>
      <w:r>
        <w:rPr>
          <w:rFonts w:ascii="Times New Roman" w:hAnsi="Times New Roman"/>
          <w:sz w:val="28"/>
          <w:szCs w:val="28"/>
        </w:rPr>
        <w:t xml:space="preserve"> по формуле</w:t>
      </w:r>
      <w:r w:rsidRPr="00DC6592">
        <w:rPr>
          <w:rFonts w:ascii="Times New Roman" w:hAnsi="Times New Roman"/>
          <w:sz w:val="28"/>
          <w:szCs w:val="28"/>
        </w:rPr>
        <w:t>:</w:t>
      </w:r>
    </w:p>
    <w:p w:rsidR="000110FE" w:rsidRDefault="000110FE" w:rsidP="000110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10FE" w:rsidRDefault="000110FE" w:rsidP="000110F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3B5">
        <w:rPr>
          <w:rFonts w:ascii="Times New Roman" w:hAnsi="Times New Roman"/>
          <w:sz w:val="28"/>
          <w:szCs w:val="28"/>
        </w:rPr>
        <w:t>Расчетный чистый финансовый результат (прибыль/убыток)  + Амортизация – Инвестиционные расходы</w:t>
      </w:r>
      <w:r>
        <w:rPr>
          <w:rFonts w:ascii="Times New Roman" w:hAnsi="Times New Roman"/>
          <w:sz w:val="28"/>
          <w:szCs w:val="28"/>
        </w:rPr>
        <w:t>.</w:t>
      </w:r>
    </w:p>
    <w:p w:rsidR="000110FE" w:rsidRPr="002E051C" w:rsidRDefault="000110FE" w:rsidP="000110FE">
      <w:pPr>
        <w:pStyle w:val="a3"/>
        <w:spacing w:after="0" w:line="240" w:lineRule="auto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0110FE" w:rsidRPr="001916EB" w:rsidRDefault="000110FE" w:rsidP="000110FE">
      <w:pPr>
        <w:pStyle w:val="a3"/>
        <w:numPr>
          <w:ilvl w:val="0"/>
          <w:numId w:val="1"/>
        </w:numPr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</w:t>
      </w:r>
      <w:r w:rsidRPr="00451D77">
        <w:rPr>
          <w:rFonts w:ascii="Times New Roman" w:hAnsi="Times New Roman"/>
          <w:b/>
          <w:sz w:val="28"/>
          <w:szCs w:val="28"/>
        </w:rPr>
        <w:t>Чистый денежный поток нарастающим итогом</w:t>
      </w:r>
      <w:r>
        <w:rPr>
          <w:rFonts w:ascii="Times New Roman" w:hAnsi="Times New Roman"/>
          <w:b/>
          <w:sz w:val="28"/>
          <w:szCs w:val="28"/>
        </w:rPr>
        <w:t>»</w:t>
      </w:r>
      <w:r w:rsidRPr="00451D77">
        <w:rPr>
          <w:rFonts w:ascii="Times New Roman" w:hAnsi="Times New Roman"/>
          <w:b/>
          <w:sz w:val="28"/>
          <w:szCs w:val="28"/>
        </w:rPr>
        <w:t xml:space="preserve"> - </w:t>
      </w:r>
      <w:r w:rsidRPr="00451D77">
        <w:rPr>
          <w:rFonts w:ascii="Times New Roman" w:hAnsi="Times New Roman"/>
          <w:sz w:val="28"/>
          <w:szCs w:val="28"/>
        </w:rPr>
        <w:t>сумма накопленного денежного потока за период с начала предоставления лицензируемой услуги, является критерием привлекательности инвестиционного проекта по предоставлению 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451D77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451D77">
        <w:rPr>
          <w:rFonts w:ascii="Times New Roman" w:hAnsi="Times New Roman"/>
          <w:sz w:val="28"/>
          <w:szCs w:val="28"/>
        </w:rPr>
        <w:t xml:space="preserve">. </w:t>
      </w:r>
    </w:p>
    <w:p w:rsidR="000110FE" w:rsidRPr="0073308B" w:rsidRDefault="000110FE" w:rsidP="000110FE">
      <w:pPr>
        <w:pStyle w:val="a3"/>
        <w:tabs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08B">
        <w:rPr>
          <w:rFonts w:ascii="Times New Roman" w:hAnsi="Times New Roman"/>
          <w:sz w:val="28"/>
          <w:szCs w:val="28"/>
        </w:rPr>
        <w:t>Положительный чистый денежный поток в анализируемом периоде является подтверждением экономической целесообразности деятельности по предоставлению лицензируемой услуги.</w:t>
      </w:r>
    </w:p>
    <w:p w:rsidR="0086030B" w:rsidRDefault="0086030B">
      <w:bookmarkStart w:id="0" w:name="_GoBack"/>
      <w:bookmarkEnd w:id="0"/>
    </w:p>
    <w:sectPr w:rsidR="0086030B" w:rsidSect="00777190">
      <w:headerReference w:type="default" r:id="rId6"/>
      <w:headerReference w:type="first" r:id="rId7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B" w:rsidRDefault="000110F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31C2B" w:rsidRDefault="000110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2B" w:rsidRPr="00777190" w:rsidRDefault="000110FE" w:rsidP="007771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541A"/>
    <w:multiLevelType w:val="hybridMultilevel"/>
    <w:tmpl w:val="FBA0AE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525BC0"/>
    <w:multiLevelType w:val="hybridMultilevel"/>
    <w:tmpl w:val="DBACDAFC"/>
    <w:lvl w:ilvl="0" w:tplc="70C0E6C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68"/>
    <w:rsid w:val="000110FE"/>
    <w:rsid w:val="00122C68"/>
    <w:rsid w:val="008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11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0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011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1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10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5909</Characters>
  <Application>Microsoft Office Word</Application>
  <DocSecurity>0</DocSecurity>
  <Lines>49</Lines>
  <Paragraphs>13</Paragraphs>
  <ScaleCrop>false</ScaleCrop>
  <Company>diakov.net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2016-05-17T09:04:00Z</dcterms:created>
  <dcterms:modified xsi:type="dcterms:W3CDTF">2016-05-17T09:04:00Z</dcterms:modified>
</cp:coreProperties>
</file>