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A" w:rsidRPr="007E37CF" w:rsidRDefault="00DF2FFA" w:rsidP="00DF2FFA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37CF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DF2FFA" w:rsidRPr="007E37CF" w:rsidRDefault="00DF2FFA" w:rsidP="00DF2FFA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37CF">
        <w:rPr>
          <w:rFonts w:ascii="Times New Roman" w:hAnsi="Times New Roman" w:cs="Times New Roman"/>
          <w:sz w:val="28"/>
          <w:szCs w:val="28"/>
        </w:rPr>
        <w:t>к Типовому положению о</w:t>
      </w:r>
    </w:p>
    <w:p w:rsidR="00DF2FFA" w:rsidRPr="007E37CF" w:rsidRDefault="00DF2FFA" w:rsidP="00DF2FFA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37CF">
        <w:rPr>
          <w:rFonts w:ascii="Times New Roman" w:hAnsi="Times New Roman" w:cs="Times New Roman"/>
          <w:sz w:val="28"/>
          <w:szCs w:val="28"/>
        </w:rPr>
        <w:t xml:space="preserve">психологической службе </w:t>
      </w:r>
    </w:p>
    <w:p w:rsidR="00DF2FFA" w:rsidRPr="007E37CF" w:rsidRDefault="00DF2FFA" w:rsidP="00DF2FFA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E37CF">
        <w:rPr>
          <w:rFonts w:ascii="Times New Roman" w:hAnsi="Times New Roman" w:cs="Times New Roman"/>
          <w:sz w:val="28"/>
          <w:szCs w:val="28"/>
        </w:rPr>
        <w:t>в системе образования (пункт 3.8)»</w:t>
      </w:r>
    </w:p>
    <w:p w:rsidR="00DF2FFA" w:rsidRPr="00346BAB" w:rsidRDefault="00DF2FFA" w:rsidP="00DF2FFA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FFA" w:rsidRPr="00A96F02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НОРМАТИВЫ ЧИСЛЕННОСТИ</w:t>
      </w:r>
    </w:p>
    <w:p w:rsidR="00DF2FFA" w:rsidRPr="00A96F02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(примерное штатное расписание)</w:t>
      </w:r>
    </w:p>
    <w:p w:rsidR="00DF2FFA" w:rsidRPr="00A96F02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алистов психологической службы:</w:t>
      </w:r>
    </w:p>
    <w:p w:rsidR="00DF2FFA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педагогов-психол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огов (практических психологов),</w:t>
      </w:r>
    </w:p>
    <w:p w:rsidR="00DF2FFA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социальных педагогов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всех типах образовательных учреждений</w:t>
      </w:r>
    </w:p>
    <w:p w:rsidR="00DF2FFA" w:rsidRPr="00A96F02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6B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районных административных центров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(поселки, села)</w:t>
      </w:r>
    </w:p>
    <w:p w:rsidR="00DF2FFA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DF2FFA" w:rsidRPr="00A96F02" w:rsidRDefault="00DF2FFA" w:rsidP="00DF2FF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2FFA" w:rsidRDefault="00DF2FFA" w:rsidP="00DF2FFA">
      <w:pPr>
        <w:jc w:val="both"/>
        <w:outlineLvl w:val="2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733C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Pr="00733CB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численности специалистов психологической службы дошкольных 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733CB9">
        <w:rPr>
          <w:rFonts w:ascii="Times New Roman" w:hAnsi="Times New Roman" w:cs="Times New Roman"/>
          <w:b/>
          <w:bCs/>
          <w:sz w:val="28"/>
          <w:szCs w:val="28"/>
        </w:rPr>
        <w:t xml:space="preserve"> (ясли, ясли-сады, детские сады</w:t>
      </w:r>
      <w:r w:rsidRPr="00600F0A">
        <w:rPr>
          <w:rFonts w:ascii="Times New Roman" w:hAnsi="Times New Roman" w:cs="Times New Roman"/>
          <w:b/>
          <w:bCs/>
          <w:iCs/>
          <w:sz w:val="27"/>
          <w:szCs w:val="27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393"/>
        <w:gridCol w:w="2393"/>
        <w:gridCol w:w="2286"/>
      </w:tblGrid>
      <w:tr w:rsidR="00DF2FFA" w:rsidRPr="00E6793E" w:rsidTr="00322A0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FA" w:rsidRPr="00BD39F9" w:rsidRDefault="00DF2FFA" w:rsidP="00322A05">
            <w:pPr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Наименование должности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Количество штатных единиц в зависимости от числа групп</w:t>
            </w:r>
          </w:p>
        </w:tc>
      </w:tr>
      <w:tr w:rsidR="00DF2FFA" w:rsidRPr="00E6793E" w:rsidTr="00322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FA" w:rsidRPr="00BD39F9" w:rsidRDefault="00DF2FFA" w:rsidP="00322A05">
            <w:pPr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до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4 и больше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6 и больше</w:t>
            </w:r>
          </w:p>
        </w:tc>
      </w:tr>
      <w:tr w:rsidR="00DF2FFA" w:rsidRPr="00E6793E" w:rsidTr="00322A0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A" w:rsidRPr="00BD39F9" w:rsidRDefault="00DF2FFA" w:rsidP="00322A05">
            <w:pPr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Социальный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</w:tr>
      <w:tr w:rsidR="00DF2FFA" w:rsidRPr="00E6793E" w:rsidTr="00322A0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both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 xml:space="preserve">Педагог-психолог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FA" w:rsidRPr="00BD39F9" w:rsidRDefault="00DF2FFA" w:rsidP="00322A05">
            <w:pPr>
              <w:jc w:val="center"/>
              <w:outlineLvl w:val="2"/>
              <w:rPr>
                <w:rFonts w:ascii="Times New Roman" w:hAnsi="Times New Roman" w:cs="Times New Roman"/>
                <w:bCs/>
                <w:iCs/>
              </w:rPr>
            </w:pPr>
            <w:r w:rsidRPr="00BD39F9">
              <w:rPr>
                <w:rFonts w:ascii="Times New Roman" w:hAnsi="Times New Roman" w:cs="Times New Roman"/>
                <w:bCs/>
                <w:iCs/>
              </w:rPr>
              <w:t>1,0</w:t>
            </w:r>
          </w:p>
        </w:tc>
      </w:tr>
    </w:tbl>
    <w:p w:rsidR="00DF2FFA" w:rsidRPr="00ED4A3D" w:rsidRDefault="00DF2FFA" w:rsidP="00DF2FFA">
      <w:pPr>
        <w:spacing w:before="120" w:after="120"/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</w:rPr>
      </w:pPr>
      <w:proofErr w:type="gramStart"/>
      <w:r w:rsidRPr="00ED4A3D">
        <w:rPr>
          <w:rFonts w:ascii="Times New Roman" w:hAnsi="Times New Roman" w:cs="Times New Roman"/>
          <w:bCs/>
          <w:iCs/>
          <w:sz w:val="28"/>
        </w:rPr>
        <w:t xml:space="preserve">Должность практического психолога дошкольного образовательного учреждения компенсирующего типа и комбинированного типа, в которых есть 2 и более групп компенсирующего типа, дошкольных учебных заведений (детских домов) </w:t>
      </w:r>
      <w:proofErr w:type="spellStart"/>
      <w:r w:rsidRPr="00ED4A3D">
        <w:rPr>
          <w:rFonts w:ascii="Times New Roman" w:hAnsi="Times New Roman" w:cs="Times New Roman"/>
          <w:bCs/>
          <w:iCs/>
          <w:sz w:val="28"/>
        </w:rPr>
        <w:t>интернатного</w:t>
      </w:r>
      <w:proofErr w:type="spellEnd"/>
      <w:r w:rsidRPr="00ED4A3D">
        <w:rPr>
          <w:rFonts w:ascii="Times New Roman" w:hAnsi="Times New Roman" w:cs="Times New Roman"/>
          <w:bCs/>
          <w:iCs/>
          <w:sz w:val="28"/>
        </w:rPr>
        <w:t xml:space="preserve"> типа, дошкольных учебных заведений (центров развития ребенка) вводится из расчета не более одной штатной единицы на учебное заведение за счет средств общего фонда соответствующего бюджета (для государственных и коммунальных дошкольных учебных заведений);</w:t>
      </w:r>
      <w:proofErr w:type="gramEnd"/>
    </w:p>
    <w:p w:rsidR="00DF2FFA" w:rsidRDefault="00DF2FFA" w:rsidP="00DF2FFA">
      <w:pPr>
        <w:ind w:firstLine="567"/>
        <w:jc w:val="both"/>
        <w:outlineLvl w:val="2"/>
        <w:rPr>
          <w:rFonts w:ascii="Times New Roman" w:hAnsi="Times New Roman" w:cs="Times New Roman"/>
          <w:bCs/>
          <w:iCs/>
          <w:sz w:val="28"/>
        </w:rPr>
      </w:pPr>
      <w:r w:rsidRPr="00ED4A3D">
        <w:rPr>
          <w:rFonts w:ascii="Times New Roman" w:hAnsi="Times New Roman" w:cs="Times New Roman"/>
          <w:bCs/>
          <w:iCs/>
          <w:sz w:val="28"/>
        </w:rPr>
        <w:t xml:space="preserve">Должность социального педагога дошкольного образовательного учреждения (детского дома) </w:t>
      </w:r>
      <w:proofErr w:type="spellStart"/>
      <w:r w:rsidRPr="00ED4A3D">
        <w:rPr>
          <w:rFonts w:ascii="Times New Roman" w:hAnsi="Times New Roman" w:cs="Times New Roman"/>
          <w:bCs/>
          <w:iCs/>
          <w:sz w:val="28"/>
        </w:rPr>
        <w:t>интернатного</w:t>
      </w:r>
      <w:proofErr w:type="spellEnd"/>
      <w:r w:rsidRPr="00ED4A3D">
        <w:rPr>
          <w:rFonts w:ascii="Times New Roman" w:hAnsi="Times New Roman" w:cs="Times New Roman"/>
          <w:bCs/>
          <w:iCs/>
          <w:sz w:val="28"/>
        </w:rPr>
        <w:t xml:space="preserve"> типа и центра развития ребенка вводится с расчета не более 1 штатной единицы на образовательное учреждение за счет средств общего фонда соответствующего бюджета (для государственных и коммунальны</w:t>
      </w:r>
      <w:r>
        <w:rPr>
          <w:rFonts w:ascii="Times New Roman" w:hAnsi="Times New Roman" w:cs="Times New Roman"/>
          <w:bCs/>
          <w:iCs/>
          <w:sz w:val="28"/>
        </w:rPr>
        <w:t>х дошкольных учебных заведений).</w:t>
      </w:r>
    </w:p>
    <w:p w:rsidR="00DF2FFA" w:rsidRDefault="00DF2FFA" w:rsidP="00DF2FF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Нормативы численности специалистов психологической службы общеобразовательных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DF2FFA" w:rsidRPr="00A96F02" w:rsidRDefault="00DF2FFA" w:rsidP="00DF2FF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FFA" w:rsidRPr="00BB2E69" w:rsidRDefault="00DF2FFA" w:rsidP="00DF2FFA">
      <w:pPr>
        <w:pStyle w:val="a3"/>
        <w:widowControl w:val="0"/>
        <w:numPr>
          <w:ilvl w:val="1"/>
          <w:numId w:val="1"/>
        </w:numPr>
        <w:spacing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8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льное общее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3"/>
        <w:gridCol w:w="1275"/>
        <w:gridCol w:w="1276"/>
        <w:gridCol w:w="1276"/>
        <w:gridCol w:w="1701"/>
      </w:tblGrid>
      <w:tr w:rsidR="00DF2FFA" w:rsidTr="00322A05">
        <w:tc>
          <w:tcPr>
            <w:tcW w:w="1985" w:type="dxa"/>
            <w:vMerge w:val="restart"/>
            <w:vAlign w:val="center"/>
          </w:tcPr>
          <w:p w:rsidR="00DF2FFA" w:rsidRPr="006838AA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371" w:type="dxa"/>
            <w:gridSpan w:val="5"/>
          </w:tcPr>
          <w:p w:rsidR="00DF2FFA" w:rsidRPr="006838AA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DF2FFA" w:rsidRPr="000669AF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численности </w:t>
            </w:r>
            <w:proofErr w:type="gramStart"/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F2FFA" w:rsidTr="00322A05">
        <w:tc>
          <w:tcPr>
            <w:tcW w:w="1985" w:type="dxa"/>
            <w:vMerge/>
          </w:tcPr>
          <w:p w:rsidR="00DF2FFA" w:rsidRPr="006838AA" w:rsidRDefault="00DF2FFA" w:rsidP="00322A05">
            <w:pPr>
              <w:pStyle w:val="a3"/>
              <w:widowControl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в учреждениях до 50 </w:t>
            </w:r>
          </w:p>
        </w:tc>
        <w:tc>
          <w:tcPr>
            <w:tcW w:w="1275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51 до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100 до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0DF02" wp14:editId="0928352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-455930</wp:posOffset>
                      </wp:positionV>
                      <wp:extent cx="2171700" cy="382905"/>
                      <wp:effectExtent l="0" t="1270" r="1905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FFA" w:rsidRPr="00145C6E" w:rsidRDefault="00DF2FFA" w:rsidP="00DF2F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8.1pt;margin-top:-35.9pt;width:17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gg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wZssz9DoFr4ce/MwI59Bml6ru72X5TSMhVw0VW3arlBwaRiugF9qb/sXV&#10;CUdbkM3wUVYQh+6MdEBjrTpbO6gGAnRo09OpNZZLCYdRuAgXAZhKsF3HURI4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" filled="f" stroked="f">
                      <v:textbox>
                        <w:txbxContent>
                          <w:p w:rsidR="00DF2FFA" w:rsidRPr="00145C6E" w:rsidRDefault="00DF2FFA" w:rsidP="00DF2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251 до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 </w:t>
            </w:r>
          </w:p>
        </w:tc>
        <w:tc>
          <w:tcPr>
            <w:tcW w:w="1701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301 и более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0,25 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каждые 50 человек</w:t>
            </w:r>
          </w:p>
        </w:tc>
      </w:tr>
      <w:tr w:rsidR="00DF2FFA" w:rsidTr="00322A05">
        <w:tc>
          <w:tcPr>
            <w:tcW w:w="1985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</w:tc>
        <w:tc>
          <w:tcPr>
            <w:tcW w:w="1843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при наличии контингента обучающихся свыше 30 человек </w:t>
            </w:r>
          </w:p>
        </w:tc>
        <w:tc>
          <w:tcPr>
            <w:tcW w:w="1275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0,25  на каждые 50 человек</w:t>
            </w:r>
          </w:p>
        </w:tc>
      </w:tr>
      <w:tr w:rsidR="00DF2FFA" w:rsidTr="00322A05">
        <w:tc>
          <w:tcPr>
            <w:tcW w:w="1985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43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при наличии контингента обучающихся свыше 30 человек </w:t>
            </w:r>
          </w:p>
        </w:tc>
        <w:tc>
          <w:tcPr>
            <w:tcW w:w="1275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276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1 ,25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0,25  на каждые 50 человек</w:t>
            </w:r>
          </w:p>
        </w:tc>
      </w:tr>
    </w:tbl>
    <w:p w:rsidR="00DF2FFA" w:rsidRDefault="00DF2FFA" w:rsidP="00DF2FFA">
      <w:pPr>
        <w:widowControl w:val="0"/>
        <w:spacing w:after="0" w:line="240" w:lineRule="auto"/>
        <w:rPr>
          <w:sz w:val="28"/>
          <w:szCs w:val="28"/>
        </w:rPr>
      </w:pPr>
    </w:p>
    <w:p w:rsidR="00DF2FFA" w:rsidRPr="000669AF" w:rsidRDefault="00DF2FFA" w:rsidP="00DF2FFA">
      <w:pPr>
        <w:pStyle w:val="a3"/>
        <w:widowControl w:val="0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677"/>
        <w:gridCol w:w="1024"/>
        <w:gridCol w:w="1024"/>
        <w:gridCol w:w="1024"/>
        <w:gridCol w:w="1024"/>
        <w:gridCol w:w="1024"/>
        <w:gridCol w:w="1639"/>
      </w:tblGrid>
      <w:tr w:rsidR="00DF2FFA" w:rsidTr="00322A05">
        <w:tc>
          <w:tcPr>
            <w:tcW w:w="2027" w:type="dxa"/>
            <w:vMerge w:val="restart"/>
            <w:vAlign w:val="center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436" w:type="dxa"/>
            <w:gridSpan w:val="7"/>
          </w:tcPr>
          <w:p w:rsidR="00DF2FFA" w:rsidRPr="006838AA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DF2FFA" w:rsidRPr="000669AF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численности </w:t>
            </w:r>
            <w:proofErr w:type="gramStart"/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F2FFA" w:rsidTr="00322A05">
        <w:tc>
          <w:tcPr>
            <w:tcW w:w="2027" w:type="dxa"/>
            <w:vMerge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76 до 100 человек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101 до 150 человек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151 до 400 человек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550 человек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551 до 800 человек 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801 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более человек </w:t>
            </w:r>
          </w:p>
        </w:tc>
      </w:tr>
      <w:tr w:rsidR="00DF2FFA" w:rsidTr="00322A05">
        <w:tc>
          <w:tcPr>
            <w:tcW w:w="202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каждые последующие 150 человек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</w:tr>
      <w:tr w:rsidR="00DF2FFA" w:rsidTr="00322A05">
        <w:tc>
          <w:tcPr>
            <w:tcW w:w="202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каждые последующие 150 человек 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</w:tr>
    </w:tbl>
    <w:p w:rsidR="00DF2FFA" w:rsidRDefault="00DF2FFA" w:rsidP="00DF2FFA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DF2FFA" w:rsidRPr="000669AF" w:rsidRDefault="00DF2FFA" w:rsidP="00DF2FFA">
      <w:pPr>
        <w:pStyle w:val="a3"/>
        <w:widowControl w:val="0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Среднее</w:t>
      </w: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677"/>
        <w:gridCol w:w="1024"/>
        <w:gridCol w:w="1024"/>
        <w:gridCol w:w="1024"/>
        <w:gridCol w:w="1024"/>
        <w:gridCol w:w="1024"/>
        <w:gridCol w:w="1639"/>
      </w:tblGrid>
      <w:tr w:rsidR="00DF2FFA" w:rsidTr="00322A05">
        <w:tc>
          <w:tcPr>
            <w:tcW w:w="2027" w:type="dxa"/>
            <w:vMerge w:val="restart"/>
            <w:vAlign w:val="center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8D9">
              <w:rPr>
                <w:rFonts w:ascii="Times New Roman" w:hAnsi="Times New Roman" w:cs="Times New Roman"/>
              </w:rPr>
              <w:t xml:space="preserve">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436" w:type="dxa"/>
            <w:gridSpan w:val="7"/>
          </w:tcPr>
          <w:p w:rsidR="00DF2FFA" w:rsidRPr="006838AA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DF2FFA" w:rsidRPr="000669AF" w:rsidRDefault="00DF2FFA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численности </w:t>
            </w:r>
            <w:proofErr w:type="gramStart"/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F2FFA" w:rsidTr="00322A05">
        <w:tc>
          <w:tcPr>
            <w:tcW w:w="2027" w:type="dxa"/>
            <w:vMerge/>
          </w:tcPr>
          <w:p w:rsidR="00DF2FFA" w:rsidRPr="006838AA" w:rsidRDefault="00DF2FFA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76 до 100 человек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101 до 150 человек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151 до 400 человек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40</w:t>
            </w:r>
            <w:r>
              <w:rPr>
                <w:rFonts w:ascii="Times New Roman" w:hAnsi="Times New Roman" w:cs="Times New Roman"/>
              </w:rPr>
              <w:t>1</w:t>
            </w:r>
            <w:r w:rsidRPr="006838AA">
              <w:rPr>
                <w:rFonts w:ascii="Times New Roman" w:hAnsi="Times New Roman" w:cs="Times New Roman"/>
              </w:rPr>
              <w:t xml:space="preserve"> до 550 человек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551 до 800 человек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801</w:t>
            </w:r>
          </w:p>
          <w:p w:rsidR="00DF2FFA" w:rsidRPr="006838AA" w:rsidRDefault="00DF2FFA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и более человек</w:t>
            </w:r>
          </w:p>
        </w:tc>
      </w:tr>
      <w:tr w:rsidR="00DF2FFA" w:rsidTr="00322A05">
        <w:tc>
          <w:tcPr>
            <w:tcW w:w="2027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на каждые последующие 150 человек</w:t>
            </w:r>
          </w:p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 ставки</w:t>
            </w:r>
          </w:p>
        </w:tc>
      </w:tr>
      <w:tr w:rsidR="00DF2FFA" w:rsidTr="00322A05">
        <w:tc>
          <w:tcPr>
            <w:tcW w:w="2027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77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4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39" w:type="dxa"/>
          </w:tcPr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на каждые последующие 150 человек</w:t>
            </w:r>
          </w:p>
          <w:p w:rsidR="00DF2FFA" w:rsidRPr="006838AA" w:rsidRDefault="00DF2FFA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 ставки</w:t>
            </w:r>
          </w:p>
        </w:tc>
      </w:tr>
    </w:tbl>
    <w:p w:rsidR="00BC2B51" w:rsidRDefault="00BC2B51">
      <w:bookmarkStart w:id="0" w:name="_GoBack"/>
      <w:bookmarkEnd w:id="0"/>
    </w:p>
    <w:sectPr w:rsidR="00B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D22"/>
    <w:multiLevelType w:val="multilevel"/>
    <w:tmpl w:val="F086E6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8"/>
    <w:rsid w:val="00B47508"/>
    <w:rsid w:val="00BC2B51"/>
    <w:rsid w:val="00D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F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F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diakov.net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2015-10-30T12:17:00Z</dcterms:created>
  <dcterms:modified xsi:type="dcterms:W3CDTF">2015-10-30T12:17:00Z</dcterms:modified>
</cp:coreProperties>
</file>