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Приложение 4 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к Правилам безопасности в угольных шахтах 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(</w:t>
      </w:r>
      <w:proofErr w:type="spellStart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. 6.1.1; 6.1.2; 6.5.1; 6.5.3; 6.6.1; 6.8.2; 7.5.5)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Таблица 1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Нормы содержания взрывоопасных газов </w:t>
      </w:r>
      <w:proofErr w:type="gramStart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в</w:t>
      </w:r>
      <w:proofErr w:type="gramEnd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горных </w:t>
      </w:r>
      <w:proofErr w:type="gramStart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выработках</w:t>
      </w:r>
      <w:proofErr w:type="gramEnd"/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 xml:space="preserve"> и трубопроводах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812"/>
        <w:gridCol w:w="2091"/>
      </w:tblGrid>
      <w:tr w:rsidR="00AB5192" w:rsidRPr="00AB5192" w:rsidTr="00436B79">
        <w:tc>
          <w:tcPr>
            <w:tcW w:w="195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Газы</w:t>
            </w: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Места контроля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Недопустимая концентрация, % по объему</w:t>
            </w:r>
          </w:p>
        </w:tc>
      </w:tr>
      <w:tr w:rsidR="00AB5192" w:rsidRPr="00AB5192" w:rsidTr="00436B79">
        <w:trPr>
          <w:trHeight w:val="1467"/>
        </w:trPr>
        <w:tc>
          <w:tcPr>
            <w:tcW w:w="1951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Метан (СН</w:t>
            </w:r>
            <w:proofErr w:type="gramStart"/>
            <w:r w:rsidRPr="00AB5192">
              <w:rPr>
                <w:rFonts w:eastAsia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Исходящая из тупиковой выработки, камеры, из поддерживаемой выработки, исходящая из очистного забоя, выемочного участка при отсутствии аппаратуры АКМ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1,0 и более</w:t>
            </w:r>
          </w:p>
        </w:tc>
      </w:tr>
      <w:tr w:rsidR="00AB5192" w:rsidRPr="00AB5192" w:rsidTr="00436B79">
        <w:tc>
          <w:tcPr>
            <w:tcW w:w="1951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Исходящая из очистного забоя, выемочного участка при наличии аппаратуры АКМ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1,3 и более</w:t>
            </w:r>
          </w:p>
        </w:tc>
      </w:tr>
      <w:tr w:rsidR="00AB5192" w:rsidRPr="00AB5192" w:rsidTr="00436B79">
        <w:tc>
          <w:tcPr>
            <w:tcW w:w="1951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Исходящая крыла, шахты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0,75 и более</w:t>
            </w:r>
          </w:p>
        </w:tc>
      </w:tr>
      <w:tr w:rsidR="00AB5192" w:rsidRPr="00AB5192" w:rsidTr="00436B79">
        <w:tc>
          <w:tcPr>
            <w:tcW w:w="1951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Поступающая</w:t>
            </w:r>
            <w:proofErr w:type="gramEnd"/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на выемочный участок, в очистные выработки, к забоям тупиковых выработок и  в камеры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0,5 и более</w:t>
            </w:r>
          </w:p>
        </w:tc>
      </w:tr>
      <w:tr w:rsidR="00AB5192" w:rsidRPr="00AB5192" w:rsidTr="00436B79">
        <w:tc>
          <w:tcPr>
            <w:tcW w:w="1951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Местное скопление метана в очистных, тупиковых и других выработках (у бурильных станков, на выходе из камер смешивания и др.)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2,0 и более</w:t>
            </w:r>
          </w:p>
        </w:tc>
      </w:tr>
      <w:tr w:rsidR="00AB5192" w:rsidRPr="00AB5192" w:rsidTr="00436B79">
        <w:tc>
          <w:tcPr>
            <w:tcW w:w="1951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Трубопроводы для изолированного отвода метана с помощью вентиляторов (эжекторов)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3,5 и более </w:t>
            </w:r>
          </w:p>
        </w:tc>
      </w:tr>
      <w:tr w:rsidR="00AB5192" w:rsidRPr="00AB5192" w:rsidTr="00436B79">
        <w:tc>
          <w:tcPr>
            <w:tcW w:w="1951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Дегазационные трубопроводы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от 3,5 до 25</w:t>
            </w:r>
          </w:p>
        </w:tc>
      </w:tr>
      <w:tr w:rsidR="00AB5192" w:rsidRPr="00AB5192" w:rsidTr="00436B79">
        <w:tc>
          <w:tcPr>
            <w:tcW w:w="195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Водород (Н</w:t>
            </w:r>
            <w:proofErr w:type="gramStart"/>
            <w:r w:rsidRPr="00AB5192">
              <w:rPr>
                <w:rFonts w:eastAsia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vAlign w:val="center"/>
          </w:tcPr>
          <w:p w:rsidR="00AB5192" w:rsidRPr="00AB5192" w:rsidRDefault="00AB5192" w:rsidP="00AB5192">
            <w:pPr>
              <w:ind w:firstLine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Зарядные камеры</w:t>
            </w:r>
          </w:p>
        </w:tc>
        <w:tc>
          <w:tcPr>
            <w:tcW w:w="2091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0,5 и более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br w:type="page"/>
      </w:r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>Продолжение приложения 4</w:t>
      </w: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2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Нормы содержания газов, влияющих на жизнь и здоровье людей, 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в горных выработках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685"/>
        <w:gridCol w:w="2268"/>
        <w:gridCol w:w="1138"/>
      </w:tblGrid>
      <w:tr w:rsidR="00AB5192" w:rsidRPr="00AB5192" w:rsidTr="00436B79">
        <w:trPr>
          <w:trHeight w:val="464"/>
        </w:trPr>
        <w:tc>
          <w:tcPr>
            <w:tcW w:w="2836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Газ</w:t>
            </w:r>
          </w:p>
        </w:tc>
        <w:tc>
          <w:tcPr>
            <w:tcW w:w="3685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Места контроля</w:t>
            </w:r>
          </w:p>
        </w:tc>
        <w:tc>
          <w:tcPr>
            <w:tcW w:w="3406" w:type="dxa"/>
            <w:gridSpan w:val="2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Недопустимая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концентрация</w:t>
            </w:r>
          </w:p>
        </w:tc>
      </w:tr>
      <w:tr w:rsidR="00AB5192" w:rsidRPr="00AB5192" w:rsidTr="00436B79">
        <w:trPr>
          <w:trHeight w:val="463"/>
        </w:trPr>
        <w:tc>
          <w:tcPr>
            <w:tcW w:w="2836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% по объему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мг/м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</w:tr>
      <w:tr w:rsidR="00AB5192" w:rsidRPr="00AB5192" w:rsidTr="00436B79">
        <w:trPr>
          <w:trHeight w:val="323"/>
        </w:trPr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Кислород (О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менее 20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286000</w:t>
            </w:r>
          </w:p>
        </w:tc>
      </w:tr>
      <w:tr w:rsidR="00AB5192" w:rsidRPr="00AB5192" w:rsidTr="00436B79">
        <w:trPr>
          <w:trHeight w:val="1681"/>
        </w:trPr>
        <w:tc>
          <w:tcPr>
            <w:tcW w:w="2836" w:type="dxa"/>
            <w:vMerge w:val="restart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Диоксид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углерода (СО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рабочих местах,</w:t>
            </w:r>
          </w:p>
          <w:p w:rsidR="00AB5192" w:rsidRPr="00AB5192" w:rsidRDefault="00AB5192" w:rsidP="00AB5192">
            <w:pPr>
              <w:spacing w:after="200"/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 исходящих струях выемочных участков и тупиковых выработок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 0,5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9800</w:t>
            </w:r>
          </w:p>
        </w:tc>
      </w:tr>
      <w:tr w:rsidR="00AB5192" w:rsidRPr="00AB5192" w:rsidTr="00436B79">
        <w:tc>
          <w:tcPr>
            <w:tcW w:w="2836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 выработках с исходящей струей крыла, горизонта и шахты в целом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0,75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14700</w:t>
            </w:r>
          </w:p>
        </w:tc>
      </w:tr>
      <w:tr w:rsidR="00AB5192" w:rsidRPr="00AB5192" w:rsidTr="00436B79">
        <w:tc>
          <w:tcPr>
            <w:tcW w:w="2836" w:type="dxa"/>
            <w:vMerge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0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при проведении и восстановлении выработок по завалу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1,0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19600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Оксид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углерода (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СО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0,0017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Оксиды азота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(в пересчете на NO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0,00025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Диоксид азота (NO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0,00010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Серный</w:t>
            </w:r>
          </w:p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ангидрид (SO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0,00038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AB5192" w:rsidRPr="00AB5192" w:rsidTr="00436B79">
        <w:tc>
          <w:tcPr>
            <w:tcW w:w="2836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Сероводород (H</w:t>
            </w:r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S)</w:t>
            </w:r>
          </w:p>
        </w:tc>
        <w:tc>
          <w:tcPr>
            <w:tcW w:w="3685" w:type="dxa"/>
            <w:vAlign w:val="center"/>
          </w:tcPr>
          <w:p w:rsidR="00AB5192" w:rsidRPr="00AB5192" w:rsidRDefault="00AB5192" w:rsidP="00AB5192">
            <w:pPr>
              <w:ind w:firstLine="284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более 0,00071</w:t>
            </w:r>
          </w:p>
        </w:tc>
        <w:tc>
          <w:tcPr>
            <w:tcW w:w="1138" w:type="dxa"/>
            <w:vAlign w:val="center"/>
          </w:tcPr>
          <w:p w:rsidR="00AB5192" w:rsidRPr="00AB5192" w:rsidRDefault="00AB5192" w:rsidP="00AB5192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br w:type="page"/>
      </w:r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Продолжение приложения 4</w:t>
      </w: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 w:val="24"/>
          <w:szCs w:val="24"/>
          <w:lang w:eastAsia="ru-RU"/>
        </w:rPr>
      </w:pPr>
      <w:r w:rsidRPr="00AB5192">
        <w:rPr>
          <w:rFonts w:eastAsia="Calibri" w:cs="Times New Roman"/>
          <w:color w:val="000000"/>
          <w:sz w:val="24"/>
          <w:szCs w:val="24"/>
          <w:lang w:eastAsia="ru-RU"/>
        </w:rPr>
        <w:t>Таблица 3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27"/>
          <w:szCs w:val="27"/>
          <w:lang w:eastAsia="ru-RU"/>
        </w:rPr>
      </w:pPr>
      <w:r w:rsidRPr="00AB5192">
        <w:rPr>
          <w:rFonts w:eastAsia="Calibri" w:cs="Times New Roman"/>
          <w:color w:val="000000"/>
          <w:sz w:val="27"/>
          <w:szCs w:val="27"/>
          <w:lang w:eastAsia="ru-RU"/>
        </w:rPr>
        <w:t>Допустимые значения скорости воздуха в горных выработках</w:t>
      </w:r>
    </w:p>
    <w:p w:rsidR="00AB5192" w:rsidRPr="00AB5192" w:rsidRDefault="00AB5192" w:rsidP="00AB5192">
      <w:pPr>
        <w:ind w:firstLine="0"/>
        <w:jc w:val="center"/>
        <w:rPr>
          <w:rFonts w:eastAsia="Calibri" w:cs="Times New Roman"/>
          <w:color w:val="000000"/>
          <w:sz w:val="8"/>
          <w:szCs w:val="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2363"/>
        <w:gridCol w:w="2363"/>
      </w:tblGrid>
      <w:tr w:rsidR="00AB5192" w:rsidRPr="00AB5192" w:rsidTr="00436B79">
        <w:tc>
          <w:tcPr>
            <w:tcW w:w="5056" w:type="dxa"/>
            <w:vMerge w:val="restart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Горные выработки,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вентиляционные сооружения</w:t>
            </w:r>
          </w:p>
        </w:tc>
        <w:tc>
          <w:tcPr>
            <w:tcW w:w="4726" w:type="dxa"/>
            <w:gridSpan w:val="2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Диапазон допустимых значений средних скоростей, м/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</w:tc>
      </w:tr>
      <w:tr w:rsidR="00AB5192" w:rsidRPr="00AB5192" w:rsidTr="00436B79">
        <w:tc>
          <w:tcPr>
            <w:tcW w:w="5056" w:type="dxa"/>
            <w:vMerge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Нижний предел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Верхний предел</w:t>
            </w:r>
          </w:p>
        </w:tc>
      </w:tr>
      <w:tr w:rsidR="00AB5192" w:rsidRPr="00AB5192" w:rsidTr="00AB5192">
        <w:trPr>
          <w:trHeight w:val="471"/>
        </w:trPr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Вентиляционные скважины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Не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регламентируется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Стволы и вентиляционные скважины с подъемными установками, предназначенными только для подъема работников в аварийных случаях, вентиляционные каналы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Стволы для спуска и  подъема только грузов 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Кроссинги трубчатые и типа перекидных мостов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Стволы для спуска и подъема работников и грузов, квершлаги, главные откаточные и вентиляционные штреки, капитальный и панельный бремсберги и уклоны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Очистные выработки (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призабойные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пространства)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0,25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Главные транспортные выработки, оборудованные ленточными конвейерами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Прочие горные выработки, проветриваемые за счет </w:t>
            </w:r>
            <w:proofErr w:type="spell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общешахтной</w:t>
            </w:r>
            <w:proofErr w:type="spell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депрессии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AB5192" w:rsidRPr="00AB5192" w:rsidTr="00436B79">
        <w:tc>
          <w:tcPr>
            <w:tcW w:w="5056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Тупиковые выработки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12"/>
                <w:szCs w:val="12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на шахтах III категории и выше при длине 75м и более, проводимые по угольным пластам мощностью 2 м и более, при разнице </w:t>
            </w:r>
            <w:proofErr w:type="gram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между</w:t>
            </w:r>
            <w:proofErr w:type="gram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природной и остаточной </w:t>
            </w:r>
            <w:proofErr w:type="spell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метаноносностью</w:t>
            </w:r>
            <w:proofErr w:type="spell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5 м</w:t>
            </w:r>
            <w:r w:rsidRPr="00AB5192">
              <w:rPr>
                <w:rFonts w:eastAsia="Calibri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/т и более</w:t>
            </w: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2"/>
                <w:szCs w:val="12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остальные тупиковые выработки газовых шахт</w:t>
            </w: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12"/>
                <w:szCs w:val="12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</w:t>
            </w:r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проходка и </w:t>
            </w:r>
            <w:proofErr w:type="spellStart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>углубка</w:t>
            </w:r>
            <w:proofErr w:type="spellEnd"/>
            <w:r w:rsidRPr="00AB5192">
              <w:rPr>
                <w:rFonts w:eastAsia="Calibri" w:cs="Times New Roman"/>
                <w:color w:val="000000"/>
                <w:sz w:val="27"/>
                <w:szCs w:val="27"/>
                <w:lang w:eastAsia="ru-RU"/>
              </w:rPr>
              <w:t xml:space="preserve"> вертикальных стволов и шурфов, тупиковые выработки негазовых шахт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0,5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0,25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B5192" w:rsidRPr="00AB5192" w:rsidTr="00436B79">
        <w:tc>
          <w:tcPr>
            <w:tcW w:w="505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284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Камеры</w:t>
            </w:r>
          </w:p>
        </w:tc>
        <w:tc>
          <w:tcPr>
            <w:tcW w:w="2363" w:type="dxa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 регламентируется</w:t>
            </w:r>
          </w:p>
        </w:tc>
        <w:tc>
          <w:tcPr>
            <w:tcW w:w="236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6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bookmarkStart w:id="0" w:name="_GoBack"/>
      <w:bookmarkEnd w:id="0"/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>Продолжение приложения 4</w:t>
      </w:r>
    </w:p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4</w:t>
      </w:r>
    </w:p>
    <w:p w:rsidR="00AB5192" w:rsidRPr="00AB5192" w:rsidRDefault="00AB5192" w:rsidP="00AB5192">
      <w:pPr>
        <w:ind w:firstLine="426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Допустимая температура вентиляционного потока в горных выработках в зависимости от скорости и относительной влажности воздуха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B5192" w:rsidRPr="00AB5192" w:rsidTr="00436B79">
        <w:tc>
          <w:tcPr>
            <w:tcW w:w="2392" w:type="dxa"/>
            <w:vMerge w:val="restart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Скорость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потока, м/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179" w:type="dxa"/>
            <w:gridSpan w:val="3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Допустимая температура, 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0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С, 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 относительной влажностью, %</w:t>
            </w:r>
          </w:p>
        </w:tc>
      </w:tr>
      <w:tr w:rsidR="00AB5192" w:rsidRPr="00AB5192" w:rsidTr="00436B79">
        <w:tc>
          <w:tcPr>
            <w:tcW w:w="2392" w:type="dxa"/>
            <w:vMerge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75% и меньше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76-90%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более 90 %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До 0,25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0,26-0,50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0,51-1,00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AB5192" w:rsidRPr="00AB5192" w:rsidTr="00436B79">
        <w:tc>
          <w:tcPr>
            <w:tcW w:w="2392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1,01 и более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39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26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5</w:t>
      </w:r>
    </w:p>
    <w:p w:rsidR="00AB5192" w:rsidRPr="00AB5192" w:rsidRDefault="00AB5192" w:rsidP="00AB5192">
      <w:pPr>
        <w:spacing w:line="24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Деление газовых шахт на категории </w:t>
      </w:r>
      <w:proofErr w:type="gramStart"/>
      <w:r w:rsidRPr="00AB5192">
        <w:rPr>
          <w:rFonts w:eastAsia="Calibri" w:cs="Times New Roman"/>
          <w:color w:val="000000"/>
          <w:szCs w:val="28"/>
          <w:lang w:eastAsia="ru-RU"/>
        </w:rPr>
        <w:t>по</w:t>
      </w:r>
      <w:proofErr w:type="gramEnd"/>
      <w:r w:rsidRPr="00AB5192">
        <w:rPr>
          <w:rFonts w:eastAsia="Calibri" w:cs="Times New Roman"/>
          <w:color w:val="000000"/>
          <w:szCs w:val="28"/>
          <w:lang w:eastAsia="ru-RU"/>
        </w:rPr>
        <w:t xml:space="preserve"> относительной </w:t>
      </w:r>
      <w:proofErr w:type="spellStart"/>
      <w:r w:rsidRPr="00AB5192">
        <w:rPr>
          <w:rFonts w:eastAsia="Calibri" w:cs="Times New Roman"/>
          <w:color w:val="000000"/>
          <w:szCs w:val="28"/>
          <w:lang w:eastAsia="ru-RU"/>
        </w:rPr>
        <w:t>метанообильности</w:t>
      </w:r>
      <w:proofErr w:type="spellEnd"/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Категория шахт по метану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Относительная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                                           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метанообильность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шахты, м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/т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Негазовые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до 5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5 до 10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ІІІ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10 до 15 и шахты, где были случаи  местных (слоевых) скоплений, воспламенений или взрывов метана*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Сверхкатегорийные</w:t>
            </w:r>
            <w:proofErr w:type="spellEnd"/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15 и более; шахты, опасные по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суфлярным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выделениям</w:t>
            </w:r>
          </w:p>
        </w:tc>
      </w:tr>
      <w:tr w:rsidR="00AB5192" w:rsidRPr="00AB5192" w:rsidTr="00436B79">
        <w:tc>
          <w:tcPr>
            <w:tcW w:w="4785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Опасные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по внезапным выбросам</w:t>
            </w:r>
          </w:p>
        </w:tc>
        <w:tc>
          <w:tcPr>
            <w:tcW w:w="478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шахты,  ведущие работы по пластам, опасным по внезапным выбросам угля и газа; шахты с выбросами породы</w:t>
            </w:r>
          </w:p>
        </w:tc>
      </w:tr>
    </w:tbl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line="240" w:lineRule="auto"/>
        <w:ind w:firstLine="426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* Шахты, где были случаи местных (слоевых) скоплений, воспламенений или взрывов метана, в течение месяца после наступления случая переводятся в ІІІ категорию</w:t>
      </w:r>
    </w:p>
    <w:p w:rsidR="00AB5192" w:rsidRPr="00AB5192" w:rsidRDefault="00AB5192" w:rsidP="00AB5192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6</w:t>
      </w:r>
    </w:p>
    <w:p w:rsidR="00AB5192" w:rsidRPr="00AB5192" w:rsidRDefault="00AB5192" w:rsidP="00AB5192">
      <w:pPr>
        <w:spacing w:line="24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Деление газовых шахт в период их ликвидации </w:t>
      </w: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Категория шахты по метану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gram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Абсолютная</w:t>
            </w:r>
            <w:proofErr w:type="gram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метанообильность</w:t>
            </w:r>
            <w:proofErr w:type="spellEnd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, м</w:t>
            </w:r>
            <w:r w:rsidRPr="00AB5192">
              <w:rPr>
                <w:rFonts w:eastAsia="Calibri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/мин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Негазовые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до 4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4 до 8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ІІІ</w:t>
            </w:r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от 8 до 12</w:t>
            </w:r>
          </w:p>
        </w:tc>
      </w:tr>
      <w:tr w:rsidR="00AB5192" w:rsidRPr="00AB5192" w:rsidTr="00436B79">
        <w:tc>
          <w:tcPr>
            <w:tcW w:w="450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Сверхкатегорийные</w:t>
            </w:r>
            <w:proofErr w:type="spellEnd"/>
          </w:p>
        </w:tc>
        <w:tc>
          <w:tcPr>
            <w:tcW w:w="50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12 и более</w:t>
            </w:r>
          </w:p>
        </w:tc>
      </w:tr>
    </w:tbl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lastRenderedPageBreak/>
        <w:t>Продолжение приложения 4</w:t>
      </w:r>
    </w:p>
    <w:p w:rsidR="00AB5192" w:rsidRPr="00AB5192" w:rsidRDefault="00AB5192" w:rsidP="00AB5192">
      <w:pPr>
        <w:spacing w:line="240" w:lineRule="auto"/>
        <w:ind w:firstLine="425"/>
        <w:jc w:val="right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>Таблица  7</w:t>
      </w:r>
    </w:p>
    <w:p w:rsidR="00AB5192" w:rsidRPr="00AB5192" w:rsidRDefault="00AB5192" w:rsidP="00AB5192">
      <w:pPr>
        <w:spacing w:line="240" w:lineRule="auto"/>
        <w:ind w:firstLine="425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Типы приборов для контроля содержания метана и углекислого газа </w:t>
      </w:r>
      <w:proofErr w:type="gramStart"/>
      <w:r w:rsidRPr="00AB5192">
        <w:rPr>
          <w:rFonts w:eastAsia="Calibri" w:cs="Times New Roman"/>
          <w:color w:val="000000"/>
          <w:szCs w:val="28"/>
          <w:lang w:eastAsia="ru-RU"/>
        </w:rPr>
        <w:t>в</w:t>
      </w:r>
      <w:proofErr w:type="gramEnd"/>
    </w:p>
    <w:p w:rsidR="00AB5192" w:rsidRPr="00AB5192" w:rsidRDefault="00AB5192" w:rsidP="00AB5192">
      <w:pPr>
        <w:spacing w:line="240" w:lineRule="auto"/>
        <w:ind w:firstLine="425"/>
        <w:jc w:val="center"/>
        <w:rPr>
          <w:rFonts w:eastAsia="Calibri" w:cs="Times New Roman"/>
          <w:color w:val="000000"/>
          <w:szCs w:val="28"/>
          <w:lang w:eastAsia="ru-RU"/>
        </w:rPr>
      </w:pPr>
      <w:r w:rsidRPr="00AB5192">
        <w:rPr>
          <w:rFonts w:eastAsia="Calibri" w:cs="Times New Roman"/>
          <w:color w:val="000000"/>
          <w:szCs w:val="28"/>
          <w:lang w:eastAsia="ru-RU"/>
        </w:rPr>
        <w:t xml:space="preserve"> действующих горных </w:t>
      </w:r>
      <w:proofErr w:type="gramStart"/>
      <w:r w:rsidRPr="00AB5192">
        <w:rPr>
          <w:rFonts w:eastAsia="Calibri" w:cs="Times New Roman"/>
          <w:color w:val="000000"/>
          <w:szCs w:val="28"/>
          <w:lang w:eastAsia="ru-RU"/>
        </w:rPr>
        <w:t>выработках</w:t>
      </w:r>
      <w:proofErr w:type="gramEnd"/>
    </w:p>
    <w:p w:rsidR="00AB5192" w:rsidRPr="00AB5192" w:rsidRDefault="00AB5192" w:rsidP="00AB5192">
      <w:pPr>
        <w:spacing w:line="240" w:lineRule="auto"/>
        <w:ind w:firstLine="425"/>
        <w:jc w:val="center"/>
        <w:rPr>
          <w:rFonts w:eastAsia="Calibri" w:cs="Times New Roman"/>
          <w:color w:val="000000"/>
          <w:szCs w:val="28"/>
          <w:lang w:eastAsia="ru-RU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80"/>
        <w:gridCol w:w="1427"/>
        <w:gridCol w:w="2126"/>
        <w:gridCol w:w="2233"/>
      </w:tblGrid>
      <w:tr w:rsidR="00AB5192" w:rsidRPr="00AB5192" w:rsidTr="00436B79">
        <w:tc>
          <w:tcPr>
            <w:tcW w:w="2268" w:type="dxa"/>
            <w:vMerge w:val="restart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Категории шахт по газу</w:t>
            </w:r>
          </w:p>
        </w:tc>
        <w:tc>
          <w:tcPr>
            <w:tcW w:w="6966" w:type="dxa"/>
            <w:gridSpan w:val="4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Тип  приборов (аппаратуры)</w:t>
            </w:r>
          </w:p>
        </w:tc>
      </w:tr>
      <w:tr w:rsidR="00AB5192" w:rsidRPr="00AB5192" w:rsidTr="00436B79">
        <w:tc>
          <w:tcPr>
            <w:tcW w:w="2268" w:type="dxa"/>
            <w:vMerge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переносные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эпизодического и непрерывного действия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переносные автоматические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стационарная автоматическая</w:t>
            </w:r>
          </w:p>
        </w:tc>
      </w:tr>
      <w:tr w:rsidR="00AB5192" w:rsidRPr="00AB5192" w:rsidTr="00436B79">
        <w:tc>
          <w:tcPr>
            <w:tcW w:w="2268" w:type="dxa"/>
            <w:vMerge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СН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СО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СН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на СН</w:t>
            </w:r>
            <w:proofErr w:type="gramStart"/>
            <w:r w:rsidRPr="00AB5192">
              <w:rPr>
                <w:rFonts w:eastAsia="Calibri" w:cs="Times New Roman"/>
                <w:color w:val="000000"/>
                <w:szCs w:val="28"/>
                <w:vertAlign w:val="subscript"/>
                <w:lang w:eastAsia="ru-RU"/>
              </w:rPr>
              <w:t>4</w:t>
            </w:r>
            <w:proofErr w:type="gramEnd"/>
          </w:p>
        </w:tc>
      </w:tr>
      <w:tr w:rsidR="00AB5192" w:rsidRPr="00AB5192" w:rsidTr="00436B79">
        <w:tc>
          <w:tcPr>
            <w:tcW w:w="22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Негазовые</w:t>
            </w:r>
          </w:p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и I категории</w:t>
            </w: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22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ІІ категории</w:t>
            </w: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AB5192" w:rsidRPr="00AB5192" w:rsidTr="00436B79">
        <w:tc>
          <w:tcPr>
            <w:tcW w:w="2268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ІІІ категории, </w:t>
            </w:r>
            <w:proofErr w:type="spellStart"/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сверхкатегорийные</w:t>
            </w:r>
            <w:proofErr w:type="spellEnd"/>
            <w:r w:rsidRPr="00AB5192">
              <w:rPr>
                <w:rFonts w:eastAsia="Calibri" w:cs="Times New Roman"/>
                <w:i/>
                <w:color w:val="000000"/>
                <w:szCs w:val="28"/>
                <w:lang w:eastAsia="ru-RU"/>
              </w:rPr>
              <w:t xml:space="preserve"> </w:t>
            </w: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и опасные по внезапным выбросам</w:t>
            </w:r>
          </w:p>
        </w:tc>
        <w:tc>
          <w:tcPr>
            <w:tcW w:w="1180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1427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  <w:tc>
          <w:tcPr>
            <w:tcW w:w="2233" w:type="dxa"/>
            <w:vAlign w:val="center"/>
          </w:tcPr>
          <w:p w:rsidR="00AB5192" w:rsidRPr="00AB5192" w:rsidRDefault="00AB5192" w:rsidP="00AB519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AB5192">
              <w:rPr>
                <w:rFonts w:eastAsia="Calibri" w:cs="Times New Roman"/>
                <w:color w:val="000000"/>
                <w:szCs w:val="28"/>
                <w:lang w:eastAsia="ru-RU"/>
              </w:rPr>
              <w:t>+</w:t>
            </w:r>
          </w:p>
        </w:tc>
      </w:tr>
    </w:tbl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spacing w:after="20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AB5192" w:rsidRPr="00AB5192" w:rsidRDefault="00AB5192" w:rsidP="00AB5192">
      <w:pPr>
        <w:spacing w:after="200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AB5192" w:rsidRPr="00AB5192" w:rsidRDefault="00AB5192" w:rsidP="00AB5192">
      <w:pPr>
        <w:ind w:firstLine="426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AB5192" w:rsidRPr="00AB5192" w:rsidRDefault="00AB5192" w:rsidP="00AB5192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CA6BDD" w:rsidRDefault="00CA6BDD"/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3"/>
    <w:rsid w:val="00356633"/>
    <w:rsid w:val="008F7682"/>
    <w:rsid w:val="00AB519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2BDB-97F3-4BAB-AD83-497C27F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720</Words>
  <Characters>4105</Characters>
  <Application>Microsoft Office Word</Application>
  <DocSecurity>0</DocSecurity>
  <Lines>34</Lines>
  <Paragraphs>9</Paragraphs>
  <ScaleCrop>false</ScaleCrop>
  <Company>diakov.net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2016-05-18T12:39:00Z</dcterms:created>
  <dcterms:modified xsi:type="dcterms:W3CDTF">2016-05-18T12:43:00Z</dcterms:modified>
</cp:coreProperties>
</file>