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26" w:rsidRPr="00D90A26" w:rsidRDefault="00D90A26" w:rsidP="00D90A26">
      <w:pPr>
        <w:spacing w:after="0" w:line="240" w:lineRule="auto"/>
        <w:ind w:lef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0A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8</w:t>
      </w:r>
      <w:r w:rsidRPr="00D9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A26" w:rsidRPr="00D90A26" w:rsidRDefault="00D90A26" w:rsidP="00D90A2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Инструкции по тушению пожаров в резервуарах и емкостях с нефтью и нефтепродуктами </w:t>
      </w:r>
    </w:p>
    <w:p w:rsidR="00D90A26" w:rsidRPr="00D90A26" w:rsidRDefault="00D90A26" w:rsidP="00D90A26">
      <w:pPr>
        <w:spacing w:after="0" w:line="240" w:lineRule="auto"/>
        <w:ind w:lef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(пункт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5.2.3</w:t>
      </w:r>
      <w:r w:rsidRPr="00D90A26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2E3435" w:rsidRPr="00381A90" w:rsidRDefault="002E3435" w:rsidP="002E343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3435" w:rsidRDefault="002E3435" w:rsidP="002E343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1A90">
        <w:rPr>
          <w:b/>
          <w:bCs/>
          <w:sz w:val="28"/>
          <w:szCs w:val="28"/>
        </w:rPr>
        <w:t>ПРОГНОЗИРОВАНИЕ РАЗВИТИЯ ПОЖАРА В РЕЗЕРВУАРНОЙ ГРУППЕ ОТ ЛУЧИСТОЙ ЭНЕРГИИ ФАКЕЛА ПЛАМЕНИ</w:t>
      </w:r>
    </w:p>
    <w:p w:rsidR="006C1257" w:rsidRPr="00381A90" w:rsidRDefault="006C1257" w:rsidP="002E343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3435" w:rsidRDefault="00D90A26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E3435" w:rsidRPr="00381A90">
        <w:rPr>
          <w:sz w:val="28"/>
          <w:szCs w:val="28"/>
        </w:rPr>
        <w:t xml:space="preserve">Прогнозирование выполняют </w:t>
      </w:r>
      <w:r>
        <w:rPr>
          <w:sz w:val="28"/>
          <w:szCs w:val="28"/>
        </w:rPr>
        <w:t>для оценки взрывоопасности</w:t>
      </w:r>
      <w:r w:rsidRPr="00D90A26">
        <w:rPr>
          <w:sz w:val="28"/>
          <w:szCs w:val="28"/>
        </w:rPr>
        <w:t xml:space="preserve"> соседних р</w:t>
      </w:r>
      <w:r>
        <w:rPr>
          <w:sz w:val="28"/>
          <w:szCs w:val="28"/>
        </w:rPr>
        <w:t xml:space="preserve">езервуаров во время тушения пожаров, </w:t>
      </w:r>
      <w:r w:rsidR="002E3435" w:rsidRPr="00381A90">
        <w:rPr>
          <w:sz w:val="28"/>
          <w:szCs w:val="28"/>
        </w:rPr>
        <w:t>при разработке оперативных планов пожаротушения для оценки максимально допустимого времени ввода сил и средств и первоочередного охлаждения резервуаров, расположенных рядом с горящим, с целью предотвращения возможности взрыва в паровоздушном пространстве или факельного горения паровоздушной смеси, выходящей из мест сообщения газового пространства облучаемого резервуара с атмосферой.</w:t>
      </w:r>
      <w:proofErr w:type="gramEnd"/>
    </w:p>
    <w:p w:rsidR="00D90A26" w:rsidRPr="00381A90" w:rsidRDefault="00D90A26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3435" w:rsidRDefault="00D90A26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3435" w:rsidRPr="00381A90">
        <w:rPr>
          <w:sz w:val="28"/>
          <w:szCs w:val="28"/>
        </w:rPr>
        <w:t>Результаты оценки справедливы для группы однотипных резервуаров при горении жидкости на всей свободной поверхности резервуара в условиях штиля.</w:t>
      </w:r>
    </w:p>
    <w:p w:rsidR="00D90A26" w:rsidRPr="00381A90" w:rsidRDefault="00D90A26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3435" w:rsidRDefault="00D90A26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3435" w:rsidRPr="00381A90">
        <w:rPr>
          <w:sz w:val="28"/>
          <w:szCs w:val="28"/>
        </w:rPr>
        <w:t>Методика прогноза включает два этапа. На первом определяют максимально допустимое время введения сил и средств на охлаждение</w:t>
      </w:r>
      <w:r>
        <w:rPr>
          <w:sz w:val="28"/>
          <w:szCs w:val="28"/>
        </w:rPr>
        <w:t>,</w:t>
      </w:r>
      <w:r w:rsidR="002E3435" w:rsidRPr="00381A90">
        <w:rPr>
          <w:sz w:val="28"/>
          <w:szCs w:val="28"/>
        </w:rPr>
        <w:t xml:space="preserve"> из условий </w:t>
      </w:r>
      <w:proofErr w:type="gramStart"/>
      <w:r w:rsidR="002E3435" w:rsidRPr="00381A90">
        <w:rPr>
          <w:sz w:val="28"/>
          <w:szCs w:val="28"/>
        </w:rPr>
        <w:t>предотвращения опасности нагрева элементов конструкции облучаемого резервуара</w:t>
      </w:r>
      <w:proofErr w:type="gramEnd"/>
      <w:r w:rsidR="002E3435" w:rsidRPr="00381A90">
        <w:rPr>
          <w:sz w:val="28"/>
          <w:szCs w:val="28"/>
        </w:rPr>
        <w:t xml:space="preserve"> выше температуры самовоспламенения паров нефтепродуктов. На втором этапе по взрывоопасности среды в облучаемом резервуаре определяют первоочередность введения стволов для охлаждения резервуаров, особенно при недостатке сил и средств </w:t>
      </w:r>
      <w:r w:rsidR="006C1257">
        <w:rPr>
          <w:sz w:val="28"/>
          <w:szCs w:val="28"/>
        </w:rPr>
        <w:t xml:space="preserve">в </w:t>
      </w:r>
      <w:r w:rsidR="002E3435" w:rsidRPr="00381A90">
        <w:rPr>
          <w:sz w:val="28"/>
          <w:szCs w:val="28"/>
        </w:rPr>
        <w:t>начальной стадии пожара.</w:t>
      </w:r>
    </w:p>
    <w:p w:rsidR="00D90A26" w:rsidRPr="00381A90" w:rsidRDefault="00D90A26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3435" w:rsidRPr="00D90A26" w:rsidRDefault="00D90A26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3435" w:rsidRPr="00381A90">
        <w:rPr>
          <w:sz w:val="28"/>
          <w:szCs w:val="28"/>
        </w:rPr>
        <w:t xml:space="preserve">Продолжительность нагрева наиболее теплонапряженного элемента конструкции соседнего с </w:t>
      </w:r>
      <w:proofErr w:type="gramStart"/>
      <w:r w:rsidR="002E3435" w:rsidRPr="00381A90">
        <w:rPr>
          <w:sz w:val="28"/>
          <w:szCs w:val="28"/>
        </w:rPr>
        <w:t>горящим</w:t>
      </w:r>
      <w:proofErr w:type="gramEnd"/>
      <w:r w:rsidR="002E3435" w:rsidRPr="00381A90">
        <w:rPr>
          <w:sz w:val="28"/>
          <w:szCs w:val="28"/>
        </w:rPr>
        <w:t xml:space="preserve"> резервуара до температуры самовоспламенения паров нефтепродукта</w:t>
      </w:r>
      <w:r w:rsidR="002E3435">
        <w:rPr>
          <w:sz w:val="28"/>
          <w:szCs w:val="28"/>
        </w:rPr>
        <w:t xml:space="preserve"> можно оценить по номограмме </w:t>
      </w:r>
      <w:r w:rsidR="006C1257">
        <w:rPr>
          <w:sz w:val="28"/>
          <w:szCs w:val="28"/>
        </w:rPr>
        <w:t xml:space="preserve">      </w:t>
      </w:r>
      <w:r w:rsidRPr="00D90A26">
        <w:rPr>
          <w:sz w:val="28"/>
          <w:szCs w:val="28"/>
        </w:rPr>
        <w:t>(</w:t>
      </w:r>
      <w:r w:rsidR="002E3435" w:rsidRPr="00D90A26">
        <w:rPr>
          <w:sz w:val="28"/>
          <w:szCs w:val="28"/>
        </w:rPr>
        <w:t xml:space="preserve">рисунок </w:t>
      </w:r>
      <w:r w:rsidRPr="00D90A26">
        <w:rPr>
          <w:sz w:val="28"/>
          <w:szCs w:val="28"/>
        </w:rPr>
        <w:t>8</w:t>
      </w:r>
      <w:r w:rsidR="002E3435" w:rsidRPr="00D90A26">
        <w:rPr>
          <w:sz w:val="28"/>
          <w:szCs w:val="28"/>
        </w:rPr>
        <w:t>.1).</w:t>
      </w:r>
    </w:p>
    <w:p w:rsidR="00D90A26" w:rsidRPr="00381A90" w:rsidRDefault="00D90A26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A26" w:rsidRDefault="00D90A26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E3435" w:rsidRPr="00381A90">
        <w:rPr>
          <w:sz w:val="28"/>
          <w:szCs w:val="28"/>
        </w:rPr>
        <w:t>Ключ к пользованию н</w:t>
      </w:r>
      <w:r>
        <w:rPr>
          <w:sz w:val="28"/>
          <w:szCs w:val="28"/>
        </w:rPr>
        <w:t>омограммой состоит в следующем: и</w:t>
      </w:r>
      <w:r w:rsidR="002E3435" w:rsidRPr="00381A90">
        <w:rPr>
          <w:sz w:val="28"/>
          <w:szCs w:val="28"/>
        </w:rPr>
        <w:t>з точки, соответствующей температуре окружающей среды, проводят направляющий луч через шкалу "Отношение расстояния между резервуарами к диаметру горящего" и определяют длительность нагрева стенки до температуры самовоспламенения.</w:t>
      </w:r>
    </w:p>
    <w:p w:rsidR="00D90A26" w:rsidRDefault="00D90A26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1938" w:rsidRDefault="003F1938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BCCBE00" wp14:editId="38A1E503">
            <wp:extent cx="5067300" cy="8056699"/>
            <wp:effectExtent l="0" t="0" r="0" b="0"/>
            <wp:docPr id="1" name="Рисунок 1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227" cy="806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38" w:rsidRDefault="003F1938" w:rsidP="003F1938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3F1938" w:rsidRPr="00381A90" w:rsidRDefault="003F1938" w:rsidP="003F1938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Рисунок 8.</w:t>
      </w:r>
      <w:r w:rsidRPr="00381A90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. </w:t>
      </w:r>
      <w:r w:rsidRPr="00381A90">
        <w:rPr>
          <w:iCs/>
          <w:sz w:val="28"/>
          <w:szCs w:val="28"/>
        </w:rPr>
        <w:t xml:space="preserve">Номограмма для определения максимально допустимого времени ввода сил и средств для охлаждения резервуаров, расположенных рядом с </w:t>
      </w:r>
      <w:proofErr w:type="gramStart"/>
      <w:r w:rsidRPr="00381A90">
        <w:rPr>
          <w:iCs/>
          <w:sz w:val="28"/>
          <w:szCs w:val="28"/>
        </w:rPr>
        <w:t>горящим</w:t>
      </w:r>
      <w:proofErr w:type="gramEnd"/>
      <w:r>
        <w:rPr>
          <w:iCs/>
          <w:sz w:val="28"/>
          <w:szCs w:val="28"/>
        </w:rPr>
        <w:t>.</w:t>
      </w:r>
    </w:p>
    <w:p w:rsidR="003F1938" w:rsidRPr="00381A90" w:rsidRDefault="003F1938" w:rsidP="003F19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381A90">
        <w:rPr>
          <w:sz w:val="28"/>
          <w:szCs w:val="28"/>
        </w:rPr>
        <w:t>Пример пользования ном</w:t>
      </w:r>
      <w:r>
        <w:rPr>
          <w:sz w:val="28"/>
          <w:szCs w:val="28"/>
        </w:rPr>
        <w:t>ограммой показан на р</w:t>
      </w:r>
      <w:r w:rsidRPr="00381A90">
        <w:rPr>
          <w:sz w:val="28"/>
          <w:szCs w:val="28"/>
        </w:rPr>
        <w:t xml:space="preserve">исунке </w:t>
      </w:r>
      <w:r>
        <w:rPr>
          <w:sz w:val="28"/>
          <w:szCs w:val="28"/>
        </w:rPr>
        <w:t xml:space="preserve">8.1 </w:t>
      </w:r>
      <w:proofErr w:type="gramStart"/>
      <w:r>
        <w:rPr>
          <w:sz w:val="28"/>
          <w:szCs w:val="28"/>
        </w:rPr>
        <w:t>штрих-пунктирной</w:t>
      </w:r>
      <w:proofErr w:type="gramEnd"/>
      <w:r>
        <w:rPr>
          <w:sz w:val="28"/>
          <w:szCs w:val="28"/>
        </w:rPr>
        <w:t xml:space="preserve"> линией</w:t>
      </w:r>
      <w:r w:rsidRPr="00381A90">
        <w:rPr>
          <w:sz w:val="28"/>
          <w:szCs w:val="28"/>
        </w:rPr>
        <w:t xml:space="preserve"> при следующих исходных данных:</w:t>
      </w:r>
    </w:p>
    <w:p w:rsidR="003F1938" w:rsidRPr="00381A90" w:rsidRDefault="003F1938" w:rsidP="003F19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те</w:t>
      </w:r>
      <w:r>
        <w:rPr>
          <w:sz w:val="28"/>
          <w:szCs w:val="28"/>
        </w:rPr>
        <w:t>мпература окружающего воздуха 0</w:t>
      </w:r>
      <w:proofErr w:type="gramStart"/>
      <w:r w:rsidRPr="00381A90">
        <w:rPr>
          <w:sz w:val="28"/>
          <w:szCs w:val="28"/>
        </w:rPr>
        <w:t>°С</w:t>
      </w:r>
      <w:proofErr w:type="gramEnd"/>
      <w:r w:rsidRPr="00381A90">
        <w:rPr>
          <w:sz w:val="28"/>
          <w:szCs w:val="28"/>
        </w:rPr>
        <w:t>;</w:t>
      </w:r>
    </w:p>
    <w:p w:rsidR="003F1938" w:rsidRDefault="003F1938" w:rsidP="003F19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отношение расстояния между резервуарами к диаметру горящего составляет 0,45.</w:t>
      </w:r>
    </w:p>
    <w:p w:rsidR="003F1938" w:rsidRDefault="003F1938" w:rsidP="003F19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3435" w:rsidRDefault="003F1938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E3435" w:rsidRPr="00381A90">
        <w:rPr>
          <w:sz w:val="28"/>
          <w:szCs w:val="28"/>
        </w:rPr>
        <w:t xml:space="preserve">Из точки, соответствующей </w:t>
      </w:r>
      <w:r w:rsidR="00D90A26">
        <w:rPr>
          <w:sz w:val="28"/>
          <w:szCs w:val="28"/>
        </w:rPr>
        <w:t>температуре окружающей среды (0</w:t>
      </w:r>
      <w:r w:rsidR="002E3435" w:rsidRPr="00381A90">
        <w:rPr>
          <w:sz w:val="28"/>
          <w:szCs w:val="28"/>
        </w:rPr>
        <w:t>°С), проводим направляющий луч "X", который пересекает шкалу "Отношение расстояния между резервуарами к диаметру горящего" в точке, равной 0,45, и показывает на шкале "Критическое время" 11 мин.</w:t>
      </w:r>
    </w:p>
    <w:p w:rsidR="003F1938" w:rsidRPr="00381A90" w:rsidRDefault="003F1938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1938" w:rsidRDefault="003F1938" w:rsidP="003F19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E3435" w:rsidRPr="00381A90">
        <w:rPr>
          <w:sz w:val="28"/>
          <w:szCs w:val="28"/>
        </w:rPr>
        <w:t>Делаем вывод о том, что с начала пожара до истечения 11 мин должны быть предприняты активные действия по охлаждению соседних резервуаров.</w:t>
      </w:r>
    </w:p>
    <w:p w:rsidR="003F1938" w:rsidRDefault="003F1938" w:rsidP="003F19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3435" w:rsidRPr="00381A90" w:rsidRDefault="003F1938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3435" w:rsidRPr="00381A90">
        <w:rPr>
          <w:sz w:val="28"/>
          <w:szCs w:val="28"/>
        </w:rPr>
        <w:t>Расчет номограмм выполнен при следующих условиях:</w:t>
      </w:r>
    </w:p>
    <w:p w:rsidR="002E3435" w:rsidRPr="00381A90" w:rsidRDefault="002E3435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о</w:t>
      </w:r>
      <w:r w:rsidR="003F1938">
        <w:rPr>
          <w:sz w:val="28"/>
          <w:szCs w:val="28"/>
        </w:rPr>
        <w:t>пасная температура нагрева (176</w:t>
      </w:r>
      <w:r w:rsidRPr="00381A90">
        <w:rPr>
          <w:sz w:val="28"/>
          <w:szCs w:val="28"/>
        </w:rPr>
        <w:t>°С) принята равной 0,8 температуры самовоспламенения для топлива ТС-1 (данный нефтепродукт имеет минимальную температуру самовоспламенения);</w:t>
      </w:r>
    </w:p>
    <w:p w:rsidR="002E3435" w:rsidRPr="00381A90" w:rsidRDefault="002E3435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интегральная плотность излучения при горении дизельного топлив</w:t>
      </w:r>
      <w:r w:rsidR="003F1938">
        <w:rPr>
          <w:sz w:val="28"/>
          <w:szCs w:val="28"/>
        </w:rPr>
        <w:t>а в среднем составляет 73</w:t>
      </w:r>
      <w:r w:rsidR="006C1257">
        <w:rPr>
          <w:sz w:val="28"/>
          <w:szCs w:val="28"/>
        </w:rPr>
        <w:t>кВт∙</w:t>
      </w:r>
      <w:r w:rsidRPr="00381A90">
        <w:rPr>
          <w:sz w:val="28"/>
          <w:szCs w:val="28"/>
        </w:rPr>
        <w:t>м</w:t>
      </w:r>
      <w:r w:rsidRPr="00381A90">
        <w:rPr>
          <w:sz w:val="28"/>
          <w:szCs w:val="28"/>
          <w:vertAlign w:val="superscript"/>
        </w:rPr>
        <w:t>-2</w:t>
      </w:r>
      <w:r w:rsidRPr="00381A90">
        <w:rPr>
          <w:sz w:val="28"/>
          <w:szCs w:val="28"/>
        </w:rPr>
        <w:t>;</w:t>
      </w:r>
    </w:p>
    <w:p w:rsidR="002E3435" w:rsidRPr="00381A90" w:rsidRDefault="002E3435" w:rsidP="002E343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81A90">
        <w:rPr>
          <w:sz w:val="28"/>
          <w:szCs w:val="28"/>
        </w:rPr>
        <w:t>толщина оболочки верхнего пояса резервуара РВС-5000 составляет 5мм.</w:t>
      </w:r>
    </w:p>
    <w:p w:rsidR="003F1938" w:rsidRDefault="003F1938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3435" w:rsidRDefault="003F1938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E3435" w:rsidRPr="00381A90">
        <w:rPr>
          <w:sz w:val="28"/>
          <w:szCs w:val="28"/>
        </w:rPr>
        <w:t>Взрывоопасность среды в облучаемом резервуаре со стационарной крышей</w:t>
      </w:r>
      <w:r>
        <w:rPr>
          <w:sz w:val="28"/>
          <w:szCs w:val="28"/>
        </w:rPr>
        <w:t xml:space="preserve"> можно оценить по номограмме (</w:t>
      </w:r>
      <w:r w:rsidR="002E3435">
        <w:rPr>
          <w:sz w:val="28"/>
          <w:szCs w:val="28"/>
        </w:rPr>
        <w:t>р</w:t>
      </w:r>
      <w:r w:rsidR="002E3435" w:rsidRPr="00381A90">
        <w:rPr>
          <w:sz w:val="28"/>
          <w:szCs w:val="28"/>
        </w:rPr>
        <w:t xml:space="preserve">исунок </w:t>
      </w:r>
      <w:r>
        <w:rPr>
          <w:sz w:val="28"/>
          <w:szCs w:val="28"/>
        </w:rPr>
        <w:t>8</w:t>
      </w:r>
      <w:r w:rsidR="002E3435">
        <w:rPr>
          <w:sz w:val="28"/>
          <w:szCs w:val="28"/>
        </w:rPr>
        <w:t>.</w:t>
      </w:r>
      <w:r w:rsidR="002E3435" w:rsidRPr="00381A90">
        <w:rPr>
          <w:sz w:val="28"/>
          <w:szCs w:val="28"/>
        </w:rPr>
        <w:t>2).</w:t>
      </w:r>
    </w:p>
    <w:p w:rsidR="00B05DCC" w:rsidRPr="00381A90" w:rsidRDefault="00B05DCC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3435" w:rsidRPr="00381A90" w:rsidRDefault="00B05DCC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2E3435" w:rsidRPr="00381A90">
        <w:rPr>
          <w:sz w:val="28"/>
          <w:szCs w:val="28"/>
        </w:rPr>
        <w:t>Для пользования номограммой необходимо подготовить следующие исходные данные:</w:t>
      </w:r>
    </w:p>
    <w:p w:rsidR="002E3435" w:rsidRPr="00381A90" w:rsidRDefault="002E3435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уровень взлива нефтепродукта в соседних резервуарах;</w:t>
      </w:r>
    </w:p>
    <w:p w:rsidR="002E3435" w:rsidRPr="00381A90" w:rsidRDefault="002E3435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температуру нефтепродукта в </w:t>
      </w:r>
      <w:proofErr w:type="spellStart"/>
      <w:r w:rsidRPr="00381A90">
        <w:rPr>
          <w:sz w:val="28"/>
          <w:szCs w:val="28"/>
        </w:rPr>
        <w:t>негорящем</w:t>
      </w:r>
      <w:proofErr w:type="spellEnd"/>
      <w:r w:rsidRPr="00381A90">
        <w:rPr>
          <w:sz w:val="28"/>
          <w:szCs w:val="28"/>
        </w:rPr>
        <w:t xml:space="preserve"> резервуаре (принимают равной среднемесячной температуре окружающей среды);</w:t>
      </w:r>
    </w:p>
    <w:p w:rsidR="002E3435" w:rsidRDefault="002E3435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температуру вспышки нефтепродуктов</w:t>
      </w:r>
      <w:r w:rsidR="00386929">
        <w:rPr>
          <w:sz w:val="28"/>
          <w:szCs w:val="28"/>
        </w:rPr>
        <w:t xml:space="preserve"> (таблица 11.1. приложения 11)</w:t>
      </w:r>
      <w:r w:rsidRPr="00381A90">
        <w:rPr>
          <w:sz w:val="28"/>
          <w:szCs w:val="28"/>
        </w:rPr>
        <w:t>.</w:t>
      </w:r>
    </w:p>
    <w:p w:rsidR="00B05DCC" w:rsidRPr="00381A90" w:rsidRDefault="00B05DCC" w:rsidP="002E3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3435" w:rsidRPr="00381A90" w:rsidRDefault="002E3435" w:rsidP="002E3435">
      <w:pPr>
        <w:pStyle w:val="a3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E9A98EA" wp14:editId="2BE8FDFC">
            <wp:extent cx="5410200" cy="7252034"/>
            <wp:effectExtent l="0" t="0" r="0" b="0"/>
            <wp:docPr id="2" name="Рисунок 2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83" cy="725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57" w:rsidRDefault="006C1257" w:rsidP="002E3435">
      <w:pPr>
        <w:pStyle w:val="a3"/>
        <w:jc w:val="center"/>
        <w:rPr>
          <w:sz w:val="28"/>
          <w:szCs w:val="28"/>
        </w:rPr>
      </w:pPr>
    </w:p>
    <w:p w:rsidR="002E3435" w:rsidRPr="00381A90" w:rsidRDefault="002E3435" w:rsidP="002E3435">
      <w:pPr>
        <w:pStyle w:val="a3"/>
        <w:jc w:val="center"/>
        <w:rPr>
          <w:sz w:val="28"/>
          <w:szCs w:val="28"/>
        </w:rPr>
      </w:pPr>
      <w:r w:rsidRPr="00381A90">
        <w:rPr>
          <w:sz w:val="28"/>
          <w:szCs w:val="28"/>
        </w:rPr>
        <w:t>Рис</w:t>
      </w:r>
      <w:r w:rsidR="00855DFB">
        <w:rPr>
          <w:sz w:val="28"/>
          <w:szCs w:val="28"/>
        </w:rPr>
        <w:t>унок 8</w:t>
      </w:r>
      <w:r w:rsidRPr="00381A90">
        <w:rPr>
          <w:sz w:val="28"/>
          <w:szCs w:val="28"/>
        </w:rPr>
        <w:t>.</w:t>
      </w:r>
      <w:r w:rsidR="00855DFB">
        <w:rPr>
          <w:sz w:val="28"/>
          <w:szCs w:val="28"/>
        </w:rPr>
        <w:t xml:space="preserve">2. </w:t>
      </w:r>
      <w:r w:rsidRPr="00381A90">
        <w:rPr>
          <w:sz w:val="28"/>
          <w:szCs w:val="28"/>
        </w:rPr>
        <w:t xml:space="preserve">Номограмма для определения взрывоопасности среды в резервуаре, расположенном рядом с </w:t>
      </w:r>
      <w:proofErr w:type="gramStart"/>
      <w:r w:rsidRPr="00381A90">
        <w:rPr>
          <w:sz w:val="28"/>
          <w:szCs w:val="28"/>
        </w:rPr>
        <w:t>горящим</w:t>
      </w:r>
      <w:proofErr w:type="gramEnd"/>
    </w:p>
    <w:p w:rsidR="008634ED" w:rsidRDefault="008634ED"/>
    <w:p w:rsidR="00855DFB" w:rsidRDefault="00855DFB"/>
    <w:p w:rsidR="00855DFB" w:rsidRPr="00381A90" w:rsidRDefault="00855DFB" w:rsidP="00855D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</w:t>
      </w:r>
      <w:r w:rsidRPr="00381A90">
        <w:rPr>
          <w:sz w:val="28"/>
          <w:szCs w:val="28"/>
        </w:rPr>
        <w:t>Пример поль</w:t>
      </w:r>
      <w:r>
        <w:rPr>
          <w:sz w:val="28"/>
          <w:szCs w:val="28"/>
        </w:rPr>
        <w:t>зования номограммой показан на р</w:t>
      </w:r>
      <w:r w:rsidRPr="00381A90">
        <w:rPr>
          <w:sz w:val="28"/>
          <w:szCs w:val="28"/>
        </w:rPr>
        <w:t xml:space="preserve">исунке </w:t>
      </w:r>
      <w:r>
        <w:rPr>
          <w:sz w:val="28"/>
          <w:szCs w:val="28"/>
        </w:rPr>
        <w:t>8.</w:t>
      </w:r>
      <w:r w:rsidRPr="00381A90">
        <w:rPr>
          <w:sz w:val="28"/>
          <w:szCs w:val="28"/>
        </w:rPr>
        <w:t xml:space="preserve">2 </w:t>
      </w:r>
      <w:proofErr w:type="gramStart"/>
      <w:r w:rsidRPr="00381A90">
        <w:rPr>
          <w:sz w:val="28"/>
          <w:szCs w:val="28"/>
        </w:rPr>
        <w:t>штрих-пунктиром</w:t>
      </w:r>
      <w:proofErr w:type="gramEnd"/>
      <w:r w:rsidRPr="00381A90">
        <w:rPr>
          <w:sz w:val="28"/>
          <w:szCs w:val="28"/>
        </w:rPr>
        <w:t xml:space="preserve"> при следующих исходных данных:</w:t>
      </w:r>
    </w:p>
    <w:p w:rsidR="00855DFB" w:rsidRPr="00381A90" w:rsidRDefault="00855DFB" w:rsidP="00855D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уровень </w:t>
      </w:r>
      <w:proofErr w:type="spellStart"/>
      <w:r w:rsidRPr="00381A90">
        <w:rPr>
          <w:sz w:val="28"/>
          <w:szCs w:val="28"/>
        </w:rPr>
        <w:t>взлива</w:t>
      </w:r>
      <w:proofErr w:type="spellEnd"/>
      <w:r w:rsidRPr="00381A90">
        <w:rPr>
          <w:sz w:val="28"/>
          <w:szCs w:val="28"/>
        </w:rPr>
        <w:t xml:space="preserve"> топлива ТС-1 в </w:t>
      </w:r>
      <w:proofErr w:type="spellStart"/>
      <w:r w:rsidRPr="00381A90">
        <w:rPr>
          <w:sz w:val="28"/>
          <w:szCs w:val="28"/>
        </w:rPr>
        <w:t>н</w:t>
      </w:r>
      <w:r>
        <w:rPr>
          <w:sz w:val="28"/>
          <w:szCs w:val="28"/>
        </w:rPr>
        <w:t>егорящем</w:t>
      </w:r>
      <w:proofErr w:type="spellEnd"/>
      <w:r>
        <w:rPr>
          <w:sz w:val="28"/>
          <w:szCs w:val="28"/>
        </w:rPr>
        <w:t xml:space="preserve"> резервуаре равен 10,66</w:t>
      </w:r>
      <w:r w:rsidRPr="00381A90">
        <w:rPr>
          <w:sz w:val="28"/>
          <w:szCs w:val="28"/>
        </w:rPr>
        <w:t>м;</w:t>
      </w:r>
    </w:p>
    <w:p w:rsidR="00855DFB" w:rsidRPr="00381A90" w:rsidRDefault="00855DFB" w:rsidP="00855D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температура нефтепродукта равна среднемесячной температуре ок</w:t>
      </w:r>
      <w:r>
        <w:rPr>
          <w:sz w:val="28"/>
          <w:szCs w:val="28"/>
        </w:rPr>
        <w:t>ружающей среды в июне, т. е. 20</w:t>
      </w:r>
      <w:proofErr w:type="gramStart"/>
      <w:r w:rsidRPr="00381A90">
        <w:rPr>
          <w:sz w:val="28"/>
          <w:szCs w:val="28"/>
        </w:rPr>
        <w:t>°С</w:t>
      </w:r>
      <w:proofErr w:type="gramEnd"/>
      <w:r w:rsidRPr="00381A90">
        <w:rPr>
          <w:sz w:val="28"/>
          <w:szCs w:val="28"/>
        </w:rPr>
        <w:t>;</w:t>
      </w:r>
    </w:p>
    <w:p w:rsidR="00855DFB" w:rsidRPr="00381A90" w:rsidRDefault="00855DFB" w:rsidP="00855D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температура вспышки топлива ТС-1 состав</w:t>
      </w:r>
      <w:r>
        <w:rPr>
          <w:sz w:val="28"/>
          <w:szCs w:val="28"/>
        </w:rPr>
        <w:t>ила 31</w:t>
      </w:r>
      <w:proofErr w:type="gramStart"/>
      <w:r w:rsidRPr="00381A90">
        <w:rPr>
          <w:sz w:val="28"/>
          <w:szCs w:val="28"/>
        </w:rPr>
        <w:t>°С</w:t>
      </w:r>
      <w:proofErr w:type="gramEnd"/>
      <w:r w:rsidRPr="00381A90">
        <w:rPr>
          <w:sz w:val="28"/>
          <w:szCs w:val="28"/>
        </w:rPr>
        <w:t>;</w:t>
      </w:r>
    </w:p>
    <w:p w:rsidR="00855DFB" w:rsidRPr="00381A90" w:rsidRDefault="00855DFB" w:rsidP="00855DF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облучения 10</w:t>
      </w:r>
      <w:r w:rsidRPr="00381A90">
        <w:rPr>
          <w:sz w:val="28"/>
          <w:szCs w:val="28"/>
        </w:rPr>
        <w:t>мин.</w:t>
      </w:r>
    </w:p>
    <w:p w:rsidR="00855DFB" w:rsidRPr="00381A90" w:rsidRDefault="00855DFB" w:rsidP="00855D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Из точки, соответствующей уро</w:t>
      </w:r>
      <w:r>
        <w:rPr>
          <w:sz w:val="28"/>
          <w:szCs w:val="28"/>
        </w:rPr>
        <w:t xml:space="preserve">вню </w:t>
      </w:r>
      <w:proofErr w:type="spellStart"/>
      <w:r>
        <w:rPr>
          <w:sz w:val="28"/>
          <w:szCs w:val="28"/>
        </w:rPr>
        <w:t>взлива</w:t>
      </w:r>
      <w:proofErr w:type="spellEnd"/>
      <w:r>
        <w:rPr>
          <w:sz w:val="28"/>
          <w:szCs w:val="28"/>
        </w:rPr>
        <w:t xml:space="preserve"> нефтепродукта (10,66</w:t>
      </w:r>
      <w:r w:rsidRPr="00381A90">
        <w:rPr>
          <w:sz w:val="28"/>
          <w:szCs w:val="28"/>
        </w:rPr>
        <w:t xml:space="preserve">м), проходит направляющий луч через шкалу "Время облучения" в точке, равной </w:t>
      </w:r>
      <w:r>
        <w:rPr>
          <w:sz w:val="28"/>
          <w:szCs w:val="28"/>
        </w:rPr>
        <w:t>10</w:t>
      </w:r>
      <w:r w:rsidRPr="00381A90">
        <w:rPr>
          <w:sz w:val="28"/>
          <w:szCs w:val="28"/>
        </w:rPr>
        <w:t xml:space="preserve">мин, и упирается </w:t>
      </w:r>
      <w:proofErr w:type="gramStart"/>
      <w:r w:rsidRPr="00381A90">
        <w:rPr>
          <w:sz w:val="28"/>
          <w:szCs w:val="28"/>
        </w:rPr>
        <w:t>в</w:t>
      </w:r>
      <w:proofErr w:type="gramEnd"/>
      <w:r w:rsidRPr="00381A90">
        <w:rPr>
          <w:sz w:val="28"/>
          <w:szCs w:val="28"/>
        </w:rPr>
        <w:t xml:space="preserve"> прямую 1. При этом </w:t>
      </w:r>
      <w:proofErr w:type="gramStart"/>
      <w:r w:rsidRPr="00381A90">
        <w:rPr>
          <w:sz w:val="28"/>
          <w:szCs w:val="28"/>
        </w:rPr>
        <w:t>на</w:t>
      </w:r>
      <w:proofErr w:type="gramEnd"/>
      <w:r w:rsidRPr="00381A90">
        <w:rPr>
          <w:sz w:val="28"/>
          <w:szCs w:val="28"/>
        </w:rPr>
        <w:t xml:space="preserve"> прямой 1 делается отметка. Далее из этой точки напра</w:t>
      </w:r>
      <w:r>
        <w:rPr>
          <w:sz w:val="28"/>
          <w:szCs w:val="28"/>
        </w:rPr>
        <w:t>вляющий луч пересекает точку 20</w:t>
      </w:r>
      <w:proofErr w:type="gramStart"/>
      <w:r w:rsidRPr="00381A90">
        <w:rPr>
          <w:sz w:val="28"/>
          <w:szCs w:val="28"/>
        </w:rPr>
        <w:t>°С</w:t>
      </w:r>
      <w:proofErr w:type="gramEnd"/>
      <w:r w:rsidRPr="00381A90">
        <w:rPr>
          <w:sz w:val="28"/>
          <w:szCs w:val="28"/>
        </w:rPr>
        <w:t xml:space="preserve"> на шкале "Температура нефтепродукта" и упирается в прямую 2. Из этой точки направляю</w:t>
      </w:r>
      <w:r>
        <w:rPr>
          <w:sz w:val="28"/>
          <w:szCs w:val="28"/>
        </w:rPr>
        <w:t>щий луч проходит через точку 31</w:t>
      </w:r>
      <w:proofErr w:type="gramStart"/>
      <w:r w:rsidRPr="00381A90">
        <w:rPr>
          <w:sz w:val="28"/>
          <w:szCs w:val="28"/>
        </w:rPr>
        <w:t>°С</w:t>
      </w:r>
      <w:proofErr w:type="gramEnd"/>
      <w:r w:rsidRPr="00381A90">
        <w:rPr>
          <w:sz w:val="28"/>
          <w:szCs w:val="28"/>
        </w:rPr>
        <w:t xml:space="preserve"> на шкале "Температура вспышки" и указывает значен</w:t>
      </w:r>
      <w:r>
        <w:rPr>
          <w:sz w:val="28"/>
          <w:szCs w:val="28"/>
        </w:rPr>
        <w:t>ие концентрации, равное 1,4</w:t>
      </w:r>
      <w:r w:rsidRPr="00381A90">
        <w:rPr>
          <w:sz w:val="28"/>
          <w:szCs w:val="28"/>
        </w:rPr>
        <w:t>% (об.), т. е. концентрация паров в резервуаре взрывоопасная. Взрывоопасность среды указывает на первоочередность введения стволов для охлаждения данного резервуара.</w:t>
      </w:r>
    </w:p>
    <w:p w:rsidR="00855DFB" w:rsidRDefault="00855DFB"/>
    <w:sectPr w:rsidR="00855DFB" w:rsidSect="002E343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19" w:rsidRDefault="00FC1319" w:rsidP="002E3435">
      <w:pPr>
        <w:spacing w:after="0" w:line="240" w:lineRule="auto"/>
      </w:pPr>
      <w:r>
        <w:separator/>
      </w:r>
    </w:p>
  </w:endnote>
  <w:endnote w:type="continuationSeparator" w:id="0">
    <w:p w:rsidR="00FC1319" w:rsidRDefault="00FC1319" w:rsidP="002E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19" w:rsidRDefault="00FC1319" w:rsidP="002E3435">
      <w:pPr>
        <w:spacing w:after="0" w:line="240" w:lineRule="auto"/>
      </w:pPr>
      <w:r>
        <w:separator/>
      </w:r>
    </w:p>
  </w:footnote>
  <w:footnote w:type="continuationSeparator" w:id="0">
    <w:p w:rsidR="00FC1319" w:rsidRDefault="00FC1319" w:rsidP="002E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0849"/>
      <w:docPartObj>
        <w:docPartGallery w:val="Page Numbers (Top of Page)"/>
        <w:docPartUnique/>
      </w:docPartObj>
    </w:sdtPr>
    <w:sdtEndPr/>
    <w:sdtContent>
      <w:p w:rsidR="002E3435" w:rsidRDefault="009B791E">
        <w:pPr>
          <w:pStyle w:val="a6"/>
          <w:jc w:val="center"/>
        </w:pPr>
        <w:r w:rsidRPr="002E34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3435" w:rsidRPr="002E34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E34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1E6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E34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2E3435" w:rsidRDefault="00CA1BEC" w:rsidP="002E3435">
        <w:pPr>
          <w:pStyle w:val="a6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855DFB">
          <w:rPr>
            <w:rFonts w:ascii="Times New Roman" w:hAnsi="Times New Roman" w:cs="Times New Roman"/>
            <w:sz w:val="28"/>
            <w:szCs w:val="28"/>
          </w:rPr>
          <w:t>родолжение приложения 8</w:t>
        </w:r>
      </w:p>
    </w:sdtContent>
  </w:sdt>
  <w:p w:rsidR="002E3435" w:rsidRDefault="002E34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435"/>
    <w:rsid w:val="002E3435"/>
    <w:rsid w:val="00386929"/>
    <w:rsid w:val="003F1938"/>
    <w:rsid w:val="00581E6D"/>
    <w:rsid w:val="006A2753"/>
    <w:rsid w:val="006C1257"/>
    <w:rsid w:val="00855DFB"/>
    <w:rsid w:val="008634ED"/>
    <w:rsid w:val="009A3FDA"/>
    <w:rsid w:val="009B791E"/>
    <w:rsid w:val="00B05DCC"/>
    <w:rsid w:val="00BA73E5"/>
    <w:rsid w:val="00C14537"/>
    <w:rsid w:val="00CA1BEC"/>
    <w:rsid w:val="00D90A26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ED"/>
  </w:style>
  <w:style w:type="paragraph" w:styleId="1">
    <w:name w:val="heading 1"/>
    <w:basedOn w:val="a"/>
    <w:link w:val="10"/>
    <w:uiPriority w:val="9"/>
    <w:qFormat/>
    <w:rsid w:val="002E3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2E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435"/>
  </w:style>
  <w:style w:type="paragraph" w:styleId="a8">
    <w:name w:val="footer"/>
    <w:basedOn w:val="a"/>
    <w:link w:val="a9"/>
    <w:uiPriority w:val="99"/>
    <w:unhideWhenUsed/>
    <w:rsid w:val="002E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2C35-112C-49CA-A690-C4B37C32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Respirator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 3</cp:lastModifiedBy>
  <cp:revision>9</cp:revision>
  <cp:lastPrinted>2015-12-21T10:14:00Z</cp:lastPrinted>
  <dcterms:created xsi:type="dcterms:W3CDTF">2015-12-18T10:11:00Z</dcterms:created>
  <dcterms:modified xsi:type="dcterms:W3CDTF">2016-03-16T09:40:00Z</dcterms:modified>
</cp:coreProperties>
</file>