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DF" w:rsidRPr="006B3BEA" w:rsidRDefault="00FD59DF" w:rsidP="00FD59DF">
      <w:pPr>
        <w:pStyle w:val="b"/>
        <w:ind w:left="6372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ru-RU"/>
        </w:rPr>
      </w:pPr>
      <w:r w:rsidRPr="006B3BEA">
        <w:rPr>
          <w:rFonts w:ascii="Times New Roman" w:hAnsi="Times New Roman" w:cs="Times New Roman"/>
          <w:b/>
          <w:bCs/>
          <w:iCs/>
          <w:sz w:val="26"/>
          <w:szCs w:val="26"/>
          <w:lang w:val="ru-RU"/>
        </w:rPr>
        <w:t>УТВЕРЖДЕНО</w:t>
      </w:r>
    </w:p>
    <w:p w:rsidR="00FD59DF" w:rsidRPr="006B3BEA" w:rsidRDefault="00FD59DF" w:rsidP="00FD59DF">
      <w:pPr>
        <w:pStyle w:val="b"/>
        <w:ind w:left="5664"/>
        <w:jc w:val="both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6B3BEA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Приказ Министерства </w:t>
      </w:r>
    </w:p>
    <w:p w:rsidR="00FD59DF" w:rsidRPr="006B3BEA" w:rsidRDefault="00FD59DF" w:rsidP="00FD59DF">
      <w:pPr>
        <w:pStyle w:val="b"/>
        <w:ind w:left="4956" w:firstLine="708"/>
        <w:jc w:val="both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6B3BEA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здравоохранения </w:t>
      </w:r>
      <w:proofErr w:type="gramStart"/>
      <w:r w:rsidRPr="006B3BEA">
        <w:rPr>
          <w:rFonts w:ascii="Times New Roman" w:hAnsi="Times New Roman" w:cs="Times New Roman"/>
          <w:bCs/>
          <w:iCs/>
          <w:sz w:val="26"/>
          <w:szCs w:val="26"/>
          <w:lang w:val="ru-RU"/>
        </w:rPr>
        <w:t>Донецкой</w:t>
      </w:r>
      <w:proofErr w:type="gramEnd"/>
    </w:p>
    <w:p w:rsidR="00FD59DF" w:rsidRDefault="00FD59DF" w:rsidP="00FD59DF">
      <w:pPr>
        <w:pStyle w:val="b"/>
        <w:ind w:left="4956" w:firstLine="708"/>
        <w:jc w:val="both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6B3BEA">
        <w:rPr>
          <w:rFonts w:ascii="Times New Roman" w:hAnsi="Times New Roman" w:cs="Times New Roman"/>
          <w:bCs/>
          <w:iCs/>
          <w:sz w:val="26"/>
          <w:szCs w:val="26"/>
          <w:lang w:val="ru-RU"/>
        </w:rPr>
        <w:t>Народной Республики</w:t>
      </w:r>
    </w:p>
    <w:p w:rsidR="00FD59DF" w:rsidRDefault="00FD59DF" w:rsidP="00FD59DF">
      <w:pPr>
        <w:pStyle w:val="b"/>
        <w:ind w:left="4956" w:firstLine="708"/>
        <w:jc w:val="both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17.09.2015</w:t>
      </w:r>
      <w:r w:rsidRPr="006B3BEA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№ _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012.1/380</w:t>
      </w:r>
    </w:p>
    <w:p w:rsidR="00CA29E1" w:rsidRDefault="001D49E1" w:rsidP="00FD59DF">
      <w:pPr>
        <w:pStyle w:val="b"/>
        <w:ind w:left="4956" w:firstLine="708"/>
        <w:jc w:val="both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noProof/>
        </w:rPr>
        <w:pict>
          <v:rect id="Прямоугольник 2" o:spid="_x0000_s1028" style="position:absolute;left:0;text-align:left;margin-left:321.6pt;margin-top:11.35pt;width:170.65pt;height:113.95pt;z-index:25166233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" fillcolor="window" strokecolor="windowText" strokeweight="2pt">
            <v:path arrowok="t"/>
            <v:textbox>
              <w:txbxContent>
                <w:p w:rsidR="001D49E1" w:rsidRDefault="001D49E1" w:rsidP="001D49E1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26636004" wp14:editId="4D674E6C">
                        <wp:extent cx="466725" cy="419100"/>
                        <wp:effectExtent l="0" t="0" r="9525" b="0"/>
                        <wp:docPr id="1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49E1" w:rsidRPr="00EA1824" w:rsidRDefault="001D49E1" w:rsidP="001D49E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1D49E1" w:rsidRPr="00EA1824" w:rsidRDefault="001D49E1" w:rsidP="001D49E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1D49E1" w:rsidRPr="00EA1824" w:rsidRDefault="001D49E1" w:rsidP="001D49E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1D49E1" w:rsidRPr="000A2C4D" w:rsidRDefault="001D49E1" w:rsidP="001D49E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568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_________</w:t>
                  </w:r>
                </w:p>
                <w:p w:rsidR="001D49E1" w:rsidRPr="000A2C4D" w:rsidRDefault="001D49E1" w:rsidP="001D49E1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0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сентября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5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FD59DF" w:rsidRDefault="00FD59DF" w:rsidP="00FD59DF">
      <w:pPr>
        <w:pStyle w:val="b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D49E1" w:rsidRDefault="001D49E1" w:rsidP="00FD59DF">
      <w:pPr>
        <w:pStyle w:val="b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D49E1" w:rsidRDefault="001D49E1" w:rsidP="00FD59DF">
      <w:pPr>
        <w:pStyle w:val="b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D49E1" w:rsidRDefault="001D49E1" w:rsidP="00FD59DF">
      <w:pPr>
        <w:pStyle w:val="b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D49E1" w:rsidRDefault="001D49E1" w:rsidP="00FD59DF">
      <w:pPr>
        <w:pStyle w:val="b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D49E1" w:rsidRDefault="001D49E1" w:rsidP="00FD59DF">
      <w:pPr>
        <w:pStyle w:val="b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D49E1" w:rsidRDefault="001D49E1" w:rsidP="00FD59DF">
      <w:pPr>
        <w:pStyle w:val="b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D49E1" w:rsidRPr="006B3BEA" w:rsidRDefault="001D49E1" w:rsidP="00FD59DF">
      <w:pPr>
        <w:pStyle w:val="b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FD59DF" w:rsidRPr="006B3BEA" w:rsidRDefault="001D49E1" w:rsidP="00FD59DF">
      <w:pPr>
        <w:pStyle w:val="b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pict>
          <v:rect id="_x0000_s1026" style="position:absolute;left:0;text-align:left;margin-left:404.85pt;margin-top:57.6pt;width:2pt;height:2pt;z-index:251660288" o:allowincell="f" filled="f" stroked="f" strokeweight="0">
            <v:textbox style="mso-next-textbox:#_x0000_s1026" inset="0,0,0,0">
              <w:txbxContent>
                <w:p w:rsidR="00FD59DF" w:rsidRDefault="00FD59DF" w:rsidP="00FD59DF">
                  <w:pPr>
                    <w:pStyle w:val="b"/>
                  </w:pPr>
                </w:p>
              </w:txbxContent>
            </v:textbox>
          </v:rect>
        </w:pict>
      </w:r>
      <w:r w:rsidR="00FD59DF" w:rsidRPr="006B3BE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Инструкция</w:t>
      </w:r>
    </w:p>
    <w:p w:rsidR="00FD59DF" w:rsidRPr="006B3BEA" w:rsidRDefault="00FD59DF" w:rsidP="00FD59DF">
      <w:pPr>
        <w:pStyle w:val="b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по заполнению формы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отраслевой статистической отчетности</w:t>
      </w:r>
      <w:r w:rsidRPr="006B3BE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№ 12</w:t>
      </w:r>
    </w:p>
    <w:p w:rsidR="00FD59DF" w:rsidRPr="006B3BEA" w:rsidRDefault="00FD59DF" w:rsidP="00FD59DF">
      <w:pPr>
        <w:pStyle w:val="b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Отчет о количестве заболеваний, зарегистрированных у больных,</w:t>
      </w:r>
    </w:p>
    <w:p w:rsidR="00FD59DF" w:rsidRPr="006B3BEA" w:rsidRDefault="00FD59DF" w:rsidP="00FD59DF">
      <w:pPr>
        <w:pStyle w:val="b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proofErr w:type="gramStart"/>
      <w:r w:rsidRPr="006B3BE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проживающих</w:t>
      </w:r>
      <w:proofErr w:type="gramEnd"/>
      <w:r w:rsidRPr="006B3BE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в районе обслуживания учреждения здравоохранения</w:t>
      </w:r>
    </w:p>
    <w:p w:rsidR="00FD59DF" w:rsidRPr="006B3BEA" w:rsidRDefault="00FD59DF" w:rsidP="00FD59DF">
      <w:pPr>
        <w:pStyle w:val="b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за 20______ год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»</w:t>
      </w:r>
    </w:p>
    <w:p w:rsidR="00FD59DF" w:rsidRPr="00DB005D" w:rsidRDefault="00FD59DF" w:rsidP="00FD59DF">
      <w:pPr>
        <w:pStyle w:val="b"/>
        <w:jc w:val="both"/>
        <w:rPr>
          <w:rFonts w:ascii="Times New Roman" w:hAnsi="Times New Roman" w:cs="Times New Roman"/>
          <w:bCs/>
          <w:iCs/>
          <w:sz w:val="16"/>
          <w:szCs w:val="16"/>
          <w:lang w:val="ru-RU"/>
        </w:rPr>
      </w:pP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B3B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Pr="006B3B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нструкция определяет порядок заполнения </w:t>
      </w:r>
      <w:r w:rsidRPr="006B3BE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формы отраслево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й</w:t>
      </w:r>
      <w:r w:rsidRPr="006B3BE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статистическо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й</w:t>
      </w:r>
      <w:r w:rsidRPr="006B3BE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отчет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ности</w:t>
      </w:r>
      <w:r w:rsidRPr="006B3BE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№ 12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Отчет о количестве заболеваний, зарегистрированных у больных, проживающих в районе обслуживания учреждения здравоохранения за 20______ год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(далее – форма № 12). </w:t>
      </w:r>
    </w:p>
    <w:p w:rsidR="00FD59DF" w:rsidRPr="006B3BEA" w:rsidRDefault="00FD59DF" w:rsidP="00FD59DF">
      <w:pPr>
        <w:pStyle w:val="b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Форма № 12 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формируется по каждому учреждению здравоохранения, оказывающему амбулаторно-поликлиническую помощь и по административной территории. В связи с этим учреждения здравоохранения административных территорий подают форму № 12 в </w:t>
      </w:r>
      <w:r>
        <w:rPr>
          <w:rFonts w:ascii="Times New Roman" w:hAnsi="Times New Roman" w:cs="Times New Roman"/>
          <w:sz w:val="28"/>
          <w:szCs w:val="28"/>
          <w:lang w:val="ru-RU"/>
        </w:rPr>
        <w:t>центральные городские больницы, центральные районные больницы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либо информационно-аналитические центры медицинской статистики городов, которые, в свою очередь, составляют сводную форму № 12 по городу (району) с последующим ее пред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ставлением в Республиканский Центр организации здравоохранения, медицинской статистики и информационных технологий в срок, установленный приказом Министерства здравоохранения Донецкой Народной Республики. </w:t>
      </w:r>
    </w:p>
    <w:p w:rsidR="00FD59DF" w:rsidRPr="006B3BEA" w:rsidRDefault="00FD59DF" w:rsidP="00FD59DF">
      <w:pPr>
        <w:pStyle w:val="b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В адресной части формы № 12 отмечается наименование и тип учреждения, которое ее подает. </w:t>
      </w:r>
    </w:p>
    <w:p w:rsidR="00FD59DF" w:rsidRPr="006B3BEA" w:rsidRDefault="00FD59DF" w:rsidP="00FD59DF">
      <w:pPr>
        <w:pStyle w:val="b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B3BEA">
        <w:rPr>
          <w:rFonts w:ascii="Times New Roman" w:hAnsi="Times New Roman" w:cs="Times New Roman"/>
          <w:sz w:val="28"/>
          <w:lang w:val="ru-RU"/>
        </w:rPr>
        <w:t>В форме № 12 отображается информация о заболеваниях, зарегистрированных у больных, проживающих в пределах территории, закрепленной за данным учреждением здравоохранения.</w:t>
      </w:r>
    </w:p>
    <w:p w:rsidR="00FD59DF" w:rsidRPr="006B3BEA" w:rsidRDefault="00FD59DF" w:rsidP="00FD59DF">
      <w:pPr>
        <w:pStyle w:val="b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>В формах № 12 городских учреждений здравоохранения, которые имеют приписные сельские участки, указываются данные о больных, проживающих как на территории города, так и на территории приписного сельского участка.</w:t>
      </w:r>
    </w:p>
    <w:p w:rsidR="00FD59DF" w:rsidRPr="006B3BEA" w:rsidRDefault="00FD59DF" w:rsidP="00FD59DF">
      <w:pPr>
        <w:pStyle w:val="b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>Если учреждения здравоохранения имеют несколько амбулаторно-поликлинических подразделений, то в форме № 12 по ним указываются суммарные данные.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Данные для заполнения формы № 12 в разных типах учреждений здравоохранения берутся из разных источников. </w:t>
      </w:r>
    </w:p>
    <w:p w:rsidR="00FD59DF" w:rsidRDefault="00FD59DF" w:rsidP="00FD59DF">
      <w:pPr>
        <w:pStyle w:val="b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B3BE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Ответственные лица учреждений здравоохранения общей лечебной сети для заполнения граф 1 - 8 таблицы 1000, граф 1 - 6 таблицы 2000 и граф 1, 2, 3, 4 и 6, 7 таблицы 3000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Зарегистрировано заболеваний – всего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в том числе с диагнозом, установленным впервые в жизни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используют данные форм первичной учетной документации: №025-2/у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Талон для регистрации заключительных (уточненных) диагнозов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, № 025-6/у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Талон</w:t>
      </w:r>
      <w:proofErr w:type="gramEnd"/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амбулаторного пациента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, № 060/у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Журнал учета инфекционных заболеваний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из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протоколов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патологоанатомических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вскрытий,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выданных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B3BE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>патологоанатомических бюро или бюро судмедэкспертизы, если диагноз при вскрытии установлен впервые.</w:t>
      </w:r>
    </w:p>
    <w:p w:rsidR="00FD59DF" w:rsidRPr="006B3BEA" w:rsidRDefault="00FD59DF" w:rsidP="00FD59DF">
      <w:pPr>
        <w:pStyle w:val="b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Данные для заполнения граф 5 и 6 таблицы 2000 - выявлено во время </w:t>
      </w:r>
      <w:proofErr w:type="spellStart"/>
      <w:r w:rsidRPr="006B3BEA">
        <w:rPr>
          <w:rFonts w:ascii="Times New Roman" w:hAnsi="Times New Roman" w:cs="Times New Roman"/>
          <w:sz w:val="28"/>
          <w:szCs w:val="28"/>
          <w:lang w:val="ru-RU"/>
        </w:rPr>
        <w:t>профосмотров</w:t>
      </w:r>
      <w:proofErr w:type="spellEnd"/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берутся из формы первичной учетной документации № 025-6/у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Талон амбулаторного пациента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(далее – форма № 025-6/у).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Данные графы 9 таблицы 1000, граф 7-8 таблицы 2000 и граф 5, 8 таблицы 3000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Количество заболеваний, по поводу которых проводится диспансерное наблюдение на конец отчетного периода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заполняются на основании формы первичной учетной документации 030/у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Контрольная карта диспансерного наблюдения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(далее – форма № 030/у).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специализированных диспансерах: противотуберкулезных, онкологических соответствующие строки отчета заполняются на основании данных форм первичной учетной документации № 030-4/у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Контрольная карта диспансерного наблюдения больного туберкулезом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(далее – форма № 030-4/у) и № 030-6/у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Регистрационная карта больного злокачественным новообразованием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(далее 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 форма № 030-6/у).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кожно-венерологических диспансерах: данные о больных венерическими заболеваниями заполняются на основании формы первичной учетной документации № 065/у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Медицинская карта №__ больного венерическими заболеваниями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. О больных грибковыми кожными болезнями – из формы первичной учетной документации № 065-1/у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Медицинская карта больного №__ грибковыми заболеваниями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, о больных кожными болезнями (экзема, псориаз, дерматиты и тому подобное) 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softHyphen/>
        <w:t>– на основании форм № 025-6/</w:t>
      </w:r>
      <w:proofErr w:type="gramStart"/>
      <w:r w:rsidRPr="006B3BEA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и № 030/у.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психоневрологических (психиатрических, наркологических) диспансерах соответствующие строки отчета заполняются по данным форм первичной учетной документации № 030-1/у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Контрольная карта диспансерного наблюдения за больным с расстройствами психики и поведения и расстройствами психики и поведения вследствие употребления </w:t>
      </w:r>
      <w:proofErr w:type="spellStart"/>
      <w:r w:rsidRPr="006B3BEA">
        <w:rPr>
          <w:rFonts w:ascii="Times New Roman" w:hAnsi="Times New Roman" w:cs="Times New Roman"/>
          <w:sz w:val="28"/>
          <w:szCs w:val="28"/>
          <w:lang w:val="ru-RU"/>
        </w:rPr>
        <w:t>психоактивных</w:t>
      </w:r>
      <w:proofErr w:type="spellEnd"/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и формы первичной учетной документации № 025/у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Медицинская карта амбулаторного больного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______»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B3BEA">
        <w:rPr>
          <w:rFonts w:ascii="Times New Roman" w:hAnsi="Times New Roman" w:cs="Times New Roman"/>
          <w:sz w:val="28"/>
          <w:lang w:val="ru-RU"/>
        </w:rPr>
        <w:t xml:space="preserve">В форме № 12 указываются данные об общем количестве зарегистрированных в данном учреждении здравоохранения заболеваний и о количестве заболеваний, по поводу которых проводится диспансерное наблюдение: у детей (от 0 до 14 лет включительно) – таблица 1000; у подростков (15-17 лет включительно) – таблица 2000; у взрослых (18 лет и старше), в том числе у мужчин (60 лет и старше) и у женщин (55 лет и </w:t>
      </w:r>
      <w:r>
        <w:rPr>
          <w:rFonts w:ascii="Times New Roman" w:hAnsi="Times New Roman" w:cs="Times New Roman"/>
          <w:sz w:val="28"/>
          <w:lang w:val="ru-RU"/>
        </w:rPr>
        <w:t xml:space="preserve">         </w:t>
      </w:r>
      <w:r w:rsidRPr="006B3BEA">
        <w:rPr>
          <w:rFonts w:ascii="Times New Roman" w:hAnsi="Times New Roman" w:cs="Times New Roman"/>
          <w:sz w:val="28"/>
          <w:lang w:val="ru-RU"/>
        </w:rPr>
        <w:t>старше) – таблица 3000.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графе 1 таблицы 1000 и 2000, графах 1 и 6 таблицы 3000 указывается количество зарегистрированных заболеваний – всего нозологий у больных 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соответствующих возрастных групп.</w:t>
      </w:r>
    </w:p>
    <w:p w:rsidR="00FD59DF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>В графах 3 и 4 таблицы 1000 количество всех зарегистрированных заболеваний – распределяется по двум возрастным группам, а именно: у лиц в возрасте 0-6 лет и 7-14 лет включительно.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>В графах 2, 4, 6, 8 таблицы 2000 из числа всех зарегистрированных  заболеваний – указывается количество заболеваний, зарегистрированных у юношей в возрасте 15-17 лет включительно.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>В графе 5 таблицы 1000, графе 3 таблицы 2000 и графах 3 и 7 таблицы 3000 из числа всех зарегистрированных заболеваний указывается количество заболеваний, которые установлены впервые в жизни.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>Из числа впервые зарегистрированных заболеваний, указанных в графе 5 таблицы 1000, указанные заболевания распределяются по двум возрастным группам: у лиц в возрасте 0-6 лет (графа 7) и 7-14 лет (графа 8).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>В графе 5 таблицы 2000 указывается количество заболеваний, выявленных во время профилактических осмотров впервые в жизни у подростков 5-17 лет включительно, в т.ч. у юношей (графа 6).</w:t>
      </w:r>
    </w:p>
    <w:p w:rsidR="00FD59DF" w:rsidRPr="006B3BEA" w:rsidRDefault="00FD59DF" w:rsidP="00FD59DF">
      <w:pPr>
        <w:pStyle w:val="b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>При заполнении отдельных строк в таблицах формы № 12 следует руководствоваться такими основными положениями: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в строку 1.0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Все болезни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вносятся данные обо всех случаях заболеваний, зарегистрированных в районе обслуживания учреждения здравоохранения, включая зарегистрированные впервые;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в строках 2.0-20.0 включаются данные о заболеваниях по классам болезней и отдельным нозологическим формам в соответствии с Международной статистической классификацией болезней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проблем, связанных со здоровьем, 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десятого пересмотра (далее – МКБ-10) 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6B3BEA">
        <w:rPr>
          <w:rFonts w:ascii="Times New Roman" w:hAnsi="Times New Roman" w:cs="Times New Roman"/>
          <w:sz w:val="28"/>
          <w:szCs w:val="28"/>
          <w:lang w:val="ru-RU"/>
        </w:rPr>
        <w:t>В противотуберкулезных учреждениях, а также учреждениях, которые имеют должности фтизиатров, в количество заболеваний в форме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12 в строках 1.0 и 2.0 в графах 9 таблиц 1000, графах 7-8 и 2000, графах 5, 8 таблицы 3000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Количество заболеваний, по поводу которых проводится диспансерное наблюдение на конец отчетного периода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, включаются данные о больных активными формами туберкулеза, которые продолжают находиться под диспансерным наблюдением</w:t>
      </w:r>
      <w:proofErr w:type="gramEnd"/>
      <w:r w:rsidRPr="006B3BEA">
        <w:rPr>
          <w:rFonts w:ascii="Times New Roman" w:hAnsi="Times New Roman" w:cs="Times New Roman"/>
          <w:sz w:val="28"/>
          <w:szCs w:val="28"/>
          <w:lang w:val="ru-RU"/>
        </w:rPr>
        <w:t>, а также взяты на учет из нулевой группы диспансерного учета, но не включаются данные о здоровых контактах из семейных очагов туберкулеза.</w:t>
      </w:r>
    </w:p>
    <w:p w:rsidR="00FD59DF" w:rsidRPr="006B3BEA" w:rsidRDefault="00FD59DF" w:rsidP="00FD59DF">
      <w:pPr>
        <w:pStyle w:val="b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В самостоятельных противотуберкулезных учреждениях данные о количестве больных, которые отмечены в строках 1.0 и 2.0 формы № 12 должны быть больше соответствующего количества, указанного в форме отраслевого статистического отчета № 33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Отчет о контингентах больных туберкулезом за 20___год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(за счет лиц с туберкулезом органов дыхания сомнительной активности – нулевая группа диспансерного учета).</w:t>
      </w:r>
    </w:p>
    <w:p w:rsidR="00FD59DF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>Кожно-венерологическими диспансерами и учреждениями, которые имеют кожно-венерологические кабинеты в поликлиниках, в форму № 12 включаются данные обо всех больных венерическими, грибковыми кожными и другими кожными болезнями, трихомониазом, которые получают лечение, или закончили его и находятся под диспансерным наблюдением. В форму № 12 не включаются данн</w:t>
      </w:r>
      <w:bookmarkStart w:id="0" w:name="_GoBack"/>
      <w:bookmarkEnd w:id="0"/>
      <w:r w:rsidRPr="006B3BEA">
        <w:rPr>
          <w:rFonts w:ascii="Times New Roman" w:hAnsi="Times New Roman" w:cs="Times New Roman"/>
          <w:sz w:val="28"/>
          <w:szCs w:val="28"/>
          <w:lang w:val="ru-RU"/>
        </w:rPr>
        <w:t>ые о здоровых лицах, которые были в контакте с больными венерическими болезнями и получили профилактическое лечение.</w:t>
      </w:r>
    </w:p>
    <w:p w:rsidR="00FD59DF" w:rsidRPr="00D520F2" w:rsidRDefault="00FD59DF" w:rsidP="00FD59DF">
      <w:pPr>
        <w:pStyle w:val="b"/>
        <w:jc w:val="center"/>
        <w:rPr>
          <w:rFonts w:ascii="Times New Roman" w:hAnsi="Times New Roman" w:cs="Times New Roman"/>
          <w:color w:val="80808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color w:val="808080"/>
          <w:lang w:val="ru-RU"/>
        </w:rPr>
        <w:lastRenderedPageBreak/>
        <w:t>4</w:t>
      </w:r>
    </w:p>
    <w:p w:rsidR="00FD59DF" w:rsidRPr="00AA3779" w:rsidRDefault="00FD59DF" w:rsidP="00FD59DF">
      <w:pPr>
        <w:pStyle w:val="b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6B3BEA">
        <w:rPr>
          <w:rFonts w:ascii="Times New Roman" w:hAnsi="Times New Roman" w:cs="Times New Roman"/>
          <w:sz w:val="28"/>
          <w:szCs w:val="28"/>
          <w:lang w:val="ru-RU"/>
        </w:rPr>
        <w:t>В самостоятельных психоневрологических, наркологических диспансерах и диспансерных отделениях психиатрических, психоневрологи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ческих, наркологических больниц 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данные о количестве заболеваний, по поводу которых проводится диспансерное наблюдение на конец года отмечены в форме № 12, строках 6.0, таблиц 1000, 2000, 3000 должны равняться либо быть больше суммы соответствующих данных в отчетах по форме отраслевого статистического отчета № 10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Отчет о заболеваниях и контингентах больных с расстройствами психики</w:t>
      </w:r>
      <w:proofErr w:type="gramEnd"/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и поведения за 20___год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(далее – форма № 10) и форме отраслевого статистического отчета № 11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Отчет о заболеваниях и контингенте лиц, с расстройствами психики и поведения, вызванных употреблением </w:t>
      </w:r>
      <w:proofErr w:type="spellStart"/>
      <w:r w:rsidRPr="006B3BEA">
        <w:rPr>
          <w:rFonts w:ascii="Times New Roman" w:hAnsi="Times New Roman" w:cs="Times New Roman"/>
          <w:sz w:val="28"/>
          <w:szCs w:val="28"/>
          <w:lang w:val="ru-RU"/>
        </w:rPr>
        <w:t>психоактивных</w:t>
      </w:r>
      <w:proofErr w:type="spellEnd"/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веществ за 20___год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(далее – форма № 11), т.к. заключительный диагноз психического расстройства может быть устан</w:t>
      </w:r>
      <w:r>
        <w:rPr>
          <w:rFonts w:ascii="Times New Roman" w:hAnsi="Times New Roman" w:cs="Times New Roman"/>
          <w:sz w:val="28"/>
          <w:szCs w:val="28"/>
          <w:lang w:val="ru-RU"/>
        </w:rPr>
        <w:t>овлен только врачом психиатром.</w:t>
      </w:r>
    </w:p>
    <w:p w:rsidR="00FD59DF" w:rsidRPr="006B3BEA" w:rsidRDefault="00FD59DF" w:rsidP="00FD59DF">
      <w:pPr>
        <w:pStyle w:val="b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анные о количестве заболеваний, зарегистрированных всего с расстройствами психики и поведения в форме №12, строках 6.0, графах 1, таблицах 1000, 2000, 3000 должны равняться количеству больных, которые находились под диспансерным и консультативным наблюдении на конец прошлого года, плюс число больных, взятых под наблюдение (диспансерное и консультативное) в отчетном году (форма № 10), плюс число анонимно пролеченных наркологических больных (форма № 11), плюс</w:t>
      </w:r>
      <w:proofErr w:type="gramEnd"/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число больных, пролеченных у психиатра, но не взятых на учет в отчетном году; однако могут и превышать данные форм №№ 10, 11 за счет количества лиц, которые находятся под диспансерным наблюдением не у психиатра или врача-нарколога, а у педиатра или невропатолога. В таком случае диагноз психического расстройства должен быть подтвержден психиатром.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>В строках 5.1 и 5.2 формы № 12, таблиц 1000, 2000, 3000 указывается диффузный зоб I и II и III степени, как связанный, так и не связанный с йодной недостаточностью, который имеет одиночные подрубрики (Е01.0, Е04.0).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Гиперплазия щитовидной железы трактуется как диффузный зоб                        I степени и включается в класс 5.0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Болезни эндокринной системы, расстройства питания, нарушения обмена веществ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строку 5.12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Сахарный диабет с осложнениями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lang w:val="ru-RU"/>
        </w:rPr>
        <w:t xml:space="preserve"> 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Е10-Е14.(0-8) (в таблицах 2000, 3000) включается количество больных с осложненным сахарным диабетом, независимо от числа осложнений у одного и того же больного.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Данные строки 5.12 во всех графах не должны превышать указанных в строке 5.8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Сахарный диабет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строку 7.5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Эпилепсия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(G40 – G41) таблиц 1000, 2000, 3000 необходимо включать данные об эпилепсии у больных, не требующих по своему статусу динамического наблюдения у психиатра, а находящихся под наблюдением у врача-невропатолога.</w:t>
      </w:r>
    </w:p>
    <w:p w:rsidR="00FD59DF" w:rsidRDefault="00FD59DF" w:rsidP="00FD59D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B3BEA">
        <w:rPr>
          <w:rFonts w:ascii="Times New Roman" w:hAnsi="Times New Roman"/>
          <w:sz w:val="28"/>
        </w:rPr>
        <w:t>Больные с острой ревматической лихорадкой наблюдаются в течение 3 месяцев, поэтому в строке 10.1 в графе 9 таблицы 1000, графах 7, 8 таблицы 2000, гр. 5 таблицы 3000 показывают только тех пациентов, которые заболели в IV квартале текущего года.</w:t>
      </w:r>
    </w:p>
    <w:p w:rsidR="00FD59DF" w:rsidRPr="00D520F2" w:rsidRDefault="00FD59DF" w:rsidP="00FD59DF">
      <w:pPr>
        <w:pStyle w:val="b"/>
        <w:jc w:val="center"/>
        <w:rPr>
          <w:rFonts w:ascii="Times New Roman" w:hAnsi="Times New Roman" w:cs="Times New Roman"/>
          <w:color w:val="808080"/>
          <w:lang w:val="ru-RU"/>
        </w:rPr>
      </w:pPr>
      <w:r w:rsidRPr="009C2265">
        <w:rPr>
          <w:rFonts w:ascii="Times New Roman" w:hAnsi="Times New Roman"/>
          <w:sz w:val="28"/>
          <w:lang w:val="ru-RU"/>
        </w:rPr>
        <w:br w:type="page"/>
      </w:r>
      <w:r>
        <w:rPr>
          <w:rFonts w:ascii="Times New Roman" w:hAnsi="Times New Roman" w:cs="Times New Roman"/>
          <w:color w:val="808080"/>
          <w:lang w:val="ru-RU"/>
        </w:rPr>
        <w:lastRenderedPageBreak/>
        <w:t>5</w:t>
      </w:r>
    </w:p>
    <w:p w:rsidR="00FD59DF" w:rsidRPr="006B3BEA" w:rsidRDefault="00FD59DF" w:rsidP="00FD59D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FD59DF" w:rsidRPr="006B3BEA" w:rsidRDefault="00FD59DF" w:rsidP="00FD59D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6B3BEA">
        <w:rPr>
          <w:rFonts w:ascii="Times New Roman" w:hAnsi="Times New Roman"/>
        </w:rPr>
        <w:tab/>
      </w:r>
      <w:r w:rsidRPr="006B3BEA">
        <w:rPr>
          <w:rFonts w:ascii="Times New Roman" w:hAnsi="Times New Roman"/>
          <w:sz w:val="28"/>
          <w:szCs w:val="28"/>
        </w:rPr>
        <w:t>Данные графы 1 строки 10.1</w:t>
      </w:r>
      <w:r w:rsidRPr="006B3BEA">
        <w:rPr>
          <w:rFonts w:ascii="Times New Roman" w:hAnsi="Times New Roman"/>
        </w:rPr>
        <w:t xml:space="preserve"> </w:t>
      </w:r>
      <w:r w:rsidRPr="006B3BEA">
        <w:rPr>
          <w:rFonts w:ascii="Times New Roman" w:hAnsi="Times New Roman"/>
          <w:sz w:val="28"/>
        </w:rPr>
        <w:t xml:space="preserve">таблицы 3000 должны быть равны данным графы 3 по этой же строке. Если заболевание перешло в хроническую форму, то оно показывается в строке 10.3 как впервые выявленное хроническое заболевание. 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строку 10.5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Гипертоническая болезнь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(все формы) в таблице 3000  указываются все случаи гипертонической болезни, включая гипертонию с ишемической болезнью сердца и гипертоническую болезнь с цереброваскулярными болезнями, то есть рубрики І10-І13, І20.Х.7-І25.Х</w:t>
      </w:r>
      <w:proofErr w:type="gramStart"/>
      <w:r w:rsidRPr="006B3BEA">
        <w:rPr>
          <w:rFonts w:ascii="Times New Roman" w:hAnsi="Times New Roman" w:cs="Times New Roman"/>
          <w:sz w:val="28"/>
          <w:szCs w:val="28"/>
          <w:lang w:val="ru-RU"/>
        </w:rPr>
        <w:t>7</w:t>
      </w:r>
      <w:proofErr w:type="gramEnd"/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, І60.Х.7-І69.Х7. Комбинированные формы гипертонической болезни кодируются 5-м знаком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таблице 2000 – в строку 10.6 включается только рубрика І10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6B3BEA">
        <w:rPr>
          <w:rFonts w:ascii="Times New Roman" w:hAnsi="Times New Roman" w:cs="Times New Roman"/>
          <w:sz w:val="28"/>
          <w:szCs w:val="28"/>
          <w:lang w:val="ru-RU"/>
        </w:rPr>
        <w:t>Эссенциальная</w:t>
      </w:r>
      <w:proofErr w:type="spellEnd"/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гипертензия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строке 10.7 таблицы 3000 отмечается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Вторичная гипертензия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рубрика І15. Данная рубрика включается только в класс 10.0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Болезни системы кровообращения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>Из общего количества случаев ишемической болезни сердца выделяются стенокардия (строка 10.10), острый инфаркт миокарда (строка 10.11), другие формы острой ишемической болезни (строка 10.13).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строку 10.10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Стенокардия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lang w:val="ru-RU"/>
        </w:rPr>
        <w:t xml:space="preserve"> 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в рубрику І20 включаются все формы стенокардии, в т.ч. нестабильная – строка 10.27 (120.0). 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>В соответствии с МКБ-10 острый инфаркт миокарда считается только в течение 4-х недель (28 дней) и менее.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>С целью получения более детальных и полных данных о случаях заболеваний инфарктом миокарда: в строке 10.11 таблицы 3000 необходимо в графы 1, 2, 3, 4, 6, 7 включать случаи инфаркта миокарда, впервые установленные посмертно.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>В графах 3, 7 отмечаются случаи впервые в жизни установленного диагноза острого инфаркта миокарда, включая и повторные инфаркты у одного и того же больного на протяжении года, то есть разницы между графами 1, 3 и графами 6, 7 не будет.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>Крупноочаговый (трансмуральный) инфаркт миокарда шифруется рубрикой І21.3; мелкоочаговый – рубрикой І21.4.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рубрику І22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Повторный инфаркт миокарда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lang w:val="ru-RU"/>
        </w:rPr>
        <w:t xml:space="preserve"> 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включается рецидивирующий инфаркт миокарда и отражается в таблице 3000 стр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ока 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10.28.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В строку 10.13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Другие формы острой ишемической болезни сердца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(І24) включаются: коронарный тромбоз, который не приводит к инфаркту миокарда (І24), за исключением коронарного тромбоза хронического или установленного с длительностью больше 4 недель от начала заболевания (І25.8); синдром </w:t>
      </w:r>
      <w:proofErr w:type="spellStart"/>
      <w:r w:rsidRPr="006B3BEA">
        <w:rPr>
          <w:rFonts w:ascii="Times New Roman" w:hAnsi="Times New Roman" w:cs="Times New Roman"/>
          <w:sz w:val="28"/>
          <w:szCs w:val="28"/>
          <w:lang w:val="ru-RU"/>
        </w:rPr>
        <w:t>Дресслера</w:t>
      </w:r>
      <w:proofErr w:type="spellEnd"/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(І24.1), другие формы острой ишемической болезни сердца (острая коронарная недостаточность); острая ишемическая болезнь сердца неуточненная (І24.9).</w:t>
      </w:r>
      <w:proofErr w:type="gramEnd"/>
    </w:p>
    <w:p w:rsidR="00FD59DF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строку 10.20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Цереброваскулярные болезни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lang w:val="ru-RU"/>
        </w:rPr>
        <w:t xml:space="preserve"> 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включаются заболевания с рубриками І60-І69 как с гипертонией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так и без нее.</w:t>
      </w:r>
    </w:p>
    <w:p w:rsidR="00FD59DF" w:rsidRPr="00D520F2" w:rsidRDefault="00FD59DF" w:rsidP="00FD59DF">
      <w:pPr>
        <w:pStyle w:val="b"/>
        <w:jc w:val="center"/>
        <w:rPr>
          <w:rFonts w:ascii="Times New Roman" w:hAnsi="Times New Roman" w:cs="Times New Roman"/>
          <w:color w:val="80808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color w:val="808080"/>
          <w:lang w:val="ru-RU"/>
        </w:rPr>
        <w:lastRenderedPageBreak/>
        <w:t>6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>Не включаются в данные рубрики: транзиторные церебральные ишемические атаки и родственные синдромы (G45)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травматическое внутричерепное кровоизлияние (S06).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>В строку 10.22 (І60-І62) включены все формы инсультов.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>В строках 10.29 (таблица 3000) указываются субарахноидальные кровоизлияния (І60 из стр. 10.22); в строке 10.30 – внутримозговое и другое внутричерепное кровоизлияние (І61-І62 из стр. 10.22); в строке 10.31 – инфаркт мозга (І63 из стр. 10.22), в строке 10.32 – инсульт, не уточненный, как кровоизлияние или инфаркт (І64 из стр. 10.22).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строку 11.5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Пневмонии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lang w:val="ru-RU"/>
        </w:rPr>
        <w:t xml:space="preserve"> 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включаются только острые пневмонии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(шифры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j12 - j16, j18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59DF" w:rsidRPr="006B3BEA" w:rsidRDefault="00FD59DF" w:rsidP="00FD59D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6B3BEA">
        <w:rPr>
          <w:rFonts w:ascii="Times New Roman" w:hAnsi="Times New Roman"/>
          <w:sz w:val="28"/>
        </w:rPr>
        <w:tab/>
        <w:t>Пациенты с острыми пневмониями наблюдаются в течение 6 месяцев, а затем снимаются с диспансерного учета, поэтому на конец года учитываются только те пациенты, которые заболели во втором полугодии отчетного периода.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класс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Болезни органов пищеварения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(строка 12.0) не включаются данные о заболевании зубов, кроме случаев, когда больной подлежит диспансерному наблюдению в связи с заболеванием десен, слизистой оболочки ротовой полости, болезней губ и языка, множественного кариеса. В таком случае данные в ф</w:t>
      </w:r>
      <w:r>
        <w:rPr>
          <w:rFonts w:ascii="Times New Roman" w:hAnsi="Times New Roman" w:cs="Times New Roman"/>
          <w:sz w:val="28"/>
          <w:szCs w:val="28"/>
          <w:lang w:val="ru-RU"/>
        </w:rPr>
        <w:t>орме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12 берутся на основании форм № 030/</w:t>
      </w:r>
      <w:proofErr w:type="gramStart"/>
      <w:r w:rsidRPr="006B3BEA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и № 025-2/у – </w:t>
      </w:r>
      <w:proofErr w:type="gramStart"/>
      <w:r w:rsidRPr="006B3BEA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каждый случай заболевания.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класс 16.0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Беременность, роды и послеродовой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(О00-О99) – включаются случаи акушерской патологии у женщин, в том числе и осложненные аборты. Не включается в строку 16.0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Одноплодные роды, </w:t>
      </w:r>
      <w:proofErr w:type="gramStart"/>
      <w:r w:rsidRPr="006B3BEA">
        <w:rPr>
          <w:rFonts w:ascii="Times New Roman" w:hAnsi="Times New Roman" w:cs="Times New Roman"/>
          <w:sz w:val="28"/>
          <w:szCs w:val="28"/>
          <w:lang w:val="ru-RU"/>
        </w:rPr>
        <w:t>непроизвольное</w:t>
      </w:r>
      <w:proofErr w:type="gramEnd"/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3BEA">
        <w:rPr>
          <w:rFonts w:ascii="Times New Roman" w:hAnsi="Times New Roman" w:cs="Times New Roman"/>
          <w:sz w:val="28"/>
          <w:szCs w:val="28"/>
          <w:lang w:val="ru-RU"/>
        </w:rPr>
        <w:t>родоразрешение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шифр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О80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, куда включены нормальные роды.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Данные по количеству больных, которые находятся под диспансерным наблюдением на конец отчетного года в таблицах 1001, 2001, 3001 необходимо сравнивать с соответствующими таблицами и графами форм отраслевых статистических отчетов № 33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Отчет о больных туберкулезом и лиц из групп риска за 20___год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, № 34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Отчет о контингенте больных с заболеваниями, </w:t>
      </w:r>
      <w:r>
        <w:rPr>
          <w:rFonts w:ascii="Times New Roman" w:hAnsi="Times New Roman" w:cs="Times New Roman"/>
          <w:sz w:val="28"/>
          <w:szCs w:val="28"/>
          <w:lang w:val="ru-RU"/>
        </w:rPr>
        <w:t>передающимися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преимущественно половым путем, грибковыми кожными болезнями и чесоткой за 20</w:t>
      </w:r>
      <w:proofErr w:type="gramEnd"/>
      <w:r w:rsidRPr="006B3BEA">
        <w:rPr>
          <w:rFonts w:ascii="Times New Roman" w:hAnsi="Times New Roman" w:cs="Times New Roman"/>
          <w:sz w:val="28"/>
          <w:szCs w:val="28"/>
          <w:lang w:val="ru-RU"/>
        </w:rPr>
        <w:t>_____год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 xml:space="preserve"> и № 35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Отчет о больных злокачественными новообразованиями за 20____год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59DF" w:rsidRDefault="00FD59DF" w:rsidP="00FD59D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6B3BEA">
        <w:rPr>
          <w:rFonts w:ascii="Times New Roman" w:hAnsi="Times New Roman"/>
          <w:sz w:val="28"/>
        </w:rPr>
        <w:tab/>
      </w:r>
      <w:proofErr w:type="gramStart"/>
      <w:r w:rsidRPr="006B3BEA">
        <w:rPr>
          <w:rFonts w:ascii="Times New Roman" w:hAnsi="Times New Roman"/>
          <w:sz w:val="28"/>
        </w:rPr>
        <w:t xml:space="preserve">Некоторые острые заболевания – транзиторные церебральные ишемические атаки, острый отит среднего уха, острая ревматическая лихорадка, острый инфаркт миокарда, в т.ч. трансмуральный, другие формы острой ишемической болезни сердца, инсульты (все формы, в т.ч. с гипертонией), острый фарингит и острый тонзиллит, острый ларингит и трахеит, пневмонии, острый </w:t>
      </w:r>
      <w:proofErr w:type="spellStart"/>
      <w:r w:rsidRPr="006B3BEA">
        <w:rPr>
          <w:rFonts w:ascii="Times New Roman" w:hAnsi="Times New Roman"/>
          <w:sz w:val="28"/>
        </w:rPr>
        <w:t>гломерулонефрит</w:t>
      </w:r>
      <w:proofErr w:type="spellEnd"/>
      <w:r w:rsidRPr="006B3BEA">
        <w:rPr>
          <w:rFonts w:ascii="Times New Roman" w:hAnsi="Times New Roman"/>
          <w:sz w:val="28"/>
        </w:rPr>
        <w:t>, острый цистит, острые респираторные инфекции верхних и нижних дыхательных путей, грипп, травмы</w:t>
      </w:r>
      <w:r w:rsidRPr="006B3BEA">
        <w:rPr>
          <w:rFonts w:ascii="Times New Roman" w:hAnsi="Times New Roman"/>
          <w:b/>
          <w:sz w:val="28"/>
        </w:rPr>
        <w:t xml:space="preserve"> </w:t>
      </w:r>
      <w:r w:rsidRPr="006B3BEA">
        <w:rPr>
          <w:rFonts w:ascii="Times New Roman" w:hAnsi="Times New Roman"/>
          <w:sz w:val="28"/>
        </w:rPr>
        <w:t>(за</w:t>
      </w:r>
      <w:proofErr w:type="gramEnd"/>
      <w:r w:rsidRPr="006B3BEA">
        <w:rPr>
          <w:rFonts w:ascii="Times New Roman" w:hAnsi="Times New Roman"/>
          <w:sz w:val="28"/>
        </w:rPr>
        <w:t xml:space="preserve"> исключением последствий) регистрируются столько раз, сколько они возникают в течение отчетного года. При этом графы </w:t>
      </w:r>
      <w:r>
        <w:rPr>
          <w:rFonts w:ascii="Times New Roman" w:hAnsi="Times New Roman"/>
          <w:sz w:val="28"/>
        </w:rPr>
        <w:t>«</w:t>
      </w:r>
      <w:r w:rsidRPr="006B3BEA">
        <w:rPr>
          <w:rFonts w:ascii="Times New Roman" w:hAnsi="Times New Roman"/>
          <w:sz w:val="28"/>
        </w:rPr>
        <w:t>всего</w:t>
      </w:r>
      <w:r>
        <w:rPr>
          <w:rFonts w:ascii="Times New Roman" w:hAnsi="Times New Roman"/>
          <w:sz w:val="28"/>
        </w:rPr>
        <w:t>»</w:t>
      </w:r>
      <w:r w:rsidRPr="006B3BEA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«</w:t>
      </w:r>
      <w:r w:rsidRPr="006B3BEA">
        <w:rPr>
          <w:rFonts w:ascii="Times New Roman" w:hAnsi="Times New Roman"/>
          <w:sz w:val="28"/>
        </w:rPr>
        <w:t>впервые в жизни</w:t>
      </w:r>
      <w:r>
        <w:rPr>
          <w:rFonts w:ascii="Times New Roman" w:hAnsi="Times New Roman"/>
          <w:sz w:val="28"/>
        </w:rPr>
        <w:t>»</w:t>
      </w:r>
      <w:r w:rsidRPr="006B3BEA">
        <w:rPr>
          <w:rFonts w:ascii="Times New Roman" w:hAnsi="Times New Roman"/>
          <w:sz w:val="28"/>
        </w:rPr>
        <w:t xml:space="preserve"> должны быть равны по соответствующим строкам.</w:t>
      </w:r>
    </w:p>
    <w:p w:rsidR="00FD59DF" w:rsidRPr="00D520F2" w:rsidRDefault="00FD59DF" w:rsidP="00FD59DF">
      <w:pPr>
        <w:pStyle w:val="b"/>
        <w:jc w:val="center"/>
        <w:rPr>
          <w:rFonts w:ascii="Times New Roman" w:hAnsi="Times New Roman" w:cs="Times New Roman"/>
          <w:color w:val="808080"/>
          <w:lang w:val="ru-RU"/>
        </w:rPr>
      </w:pPr>
      <w:r w:rsidRPr="009C2265">
        <w:rPr>
          <w:rFonts w:ascii="Times New Roman" w:hAnsi="Times New Roman"/>
          <w:sz w:val="28"/>
          <w:lang w:val="ru-RU"/>
        </w:rPr>
        <w:br w:type="page"/>
      </w:r>
      <w:r>
        <w:rPr>
          <w:rFonts w:ascii="Times New Roman" w:hAnsi="Times New Roman" w:cs="Times New Roman"/>
          <w:color w:val="808080"/>
          <w:lang w:val="ru-RU"/>
        </w:rPr>
        <w:lastRenderedPageBreak/>
        <w:t>7</w:t>
      </w:r>
    </w:p>
    <w:p w:rsidR="00FD59DF" w:rsidRPr="006B3BEA" w:rsidRDefault="00FD59DF" w:rsidP="00FD59D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D59DF" w:rsidRPr="006B3BEA" w:rsidRDefault="00FD59DF" w:rsidP="00FD59D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6B3BEA">
        <w:rPr>
          <w:rFonts w:ascii="Times New Roman" w:hAnsi="Times New Roman"/>
          <w:sz w:val="28"/>
        </w:rPr>
        <w:tab/>
        <w:t>Отдельные состояния, возникающие в перинатальном периоде у детей</w:t>
      </w:r>
      <w:r>
        <w:rPr>
          <w:rFonts w:ascii="Times New Roman" w:hAnsi="Times New Roman"/>
          <w:sz w:val="28"/>
        </w:rPr>
        <w:t>,</w:t>
      </w:r>
      <w:r w:rsidRPr="006B3BEA">
        <w:rPr>
          <w:rFonts w:ascii="Times New Roman" w:hAnsi="Times New Roman"/>
          <w:sz w:val="28"/>
        </w:rPr>
        <w:t xml:space="preserve"> регистрируются, как острые (графы </w:t>
      </w:r>
      <w:r>
        <w:rPr>
          <w:rFonts w:ascii="Times New Roman" w:hAnsi="Times New Roman"/>
          <w:sz w:val="28"/>
        </w:rPr>
        <w:t>«</w:t>
      </w:r>
      <w:r w:rsidRPr="006B3BEA">
        <w:rPr>
          <w:rFonts w:ascii="Times New Roman" w:hAnsi="Times New Roman"/>
          <w:sz w:val="28"/>
        </w:rPr>
        <w:t>всего</w:t>
      </w:r>
      <w:r>
        <w:rPr>
          <w:rFonts w:ascii="Times New Roman" w:hAnsi="Times New Roman"/>
          <w:sz w:val="28"/>
        </w:rPr>
        <w:t>»</w:t>
      </w:r>
      <w:r w:rsidRPr="006B3BEA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«</w:t>
      </w:r>
      <w:r w:rsidRPr="006B3BEA">
        <w:rPr>
          <w:rFonts w:ascii="Times New Roman" w:hAnsi="Times New Roman"/>
          <w:sz w:val="28"/>
        </w:rPr>
        <w:t>впервые в жизни</w:t>
      </w:r>
      <w:r>
        <w:rPr>
          <w:rFonts w:ascii="Times New Roman" w:hAnsi="Times New Roman"/>
          <w:sz w:val="28"/>
        </w:rPr>
        <w:t>»</w:t>
      </w:r>
      <w:r w:rsidRPr="006B3BEA">
        <w:rPr>
          <w:rFonts w:ascii="Times New Roman" w:hAnsi="Times New Roman"/>
          <w:sz w:val="28"/>
        </w:rPr>
        <w:t xml:space="preserve"> должны быть равны); дети наблюдаются в течение 1 месяца, поэтому на конец отчетного периода на </w:t>
      </w:r>
      <w:r>
        <w:rPr>
          <w:rFonts w:ascii="Times New Roman" w:hAnsi="Times New Roman"/>
          <w:sz w:val="28"/>
        </w:rPr>
        <w:t>«</w:t>
      </w:r>
      <w:r w:rsidRPr="006B3BEA">
        <w:rPr>
          <w:rFonts w:ascii="Times New Roman" w:hAnsi="Times New Roman"/>
          <w:sz w:val="28"/>
        </w:rPr>
        <w:t>Д</w:t>
      </w:r>
      <w:proofErr w:type="gramStart"/>
      <w:r>
        <w:rPr>
          <w:rFonts w:ascii="Times New Roman" w:hAnsi="Times New Roman"/>
          <w:sz w:val="28"/>
        </w:rPr>
        <w:t>»</w:t>
      </w:r>
      <w:r w:rsidRPr="006B3BEA">
        <w:rPr>
          <w:rFonts w:ascii="Times New Roman" w:hAnsi="Times New Roman"/>
          <w:sz w:val="28"/>
        </w:rPr>
        <w:t>-</w:t>
      </w:r>
      <w:proofErr w:type="gramEnd"/>
      <w:r w:rsidRPr="006B3BEA">
        <w:rPr>
          <w:rFonts w:ascii="Times New Roman" w:hAnsi="Times New Roman"/>
          <w:sz w:val="28"/>
        </w:rPr>
        <w:t>учете показывают только тех детей, у которых эти состояния развились в декабре отчетного года.</w:t>
      </w: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D59DF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59DF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59DF" w:rsidRPr="006B3BEA" w:rsidRDefault="00FD59DF" w:rsidP="00FD59DF">
      <w:pPr>
        <w:pStyle w:val="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BEA">
        <w:rPr>
          <w:rFonts w:ascii="Times New Roman" w:hAnsi="Times New Roman" w:cs="Times New Roman"/>
          <w:sz w:val="28"/>
          <w:szCs w:val="28"/>
          <w:lang w:val="ru-RU"/>
        </w:rPr>
        <w:t>Министр здравоохранения</w:t>
      </w:r>
    </w:p>
    <w:p w:rsidR="00851E95" w:rsidRDefault="00FD59DF" w:rsidP="00FD59DF">
      <w:r w:rsidRPr="006B3BEA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6B3BEA">
        <w:rPr>
          <w:rFonts w:ascii="Times New Roman" w:hAnsi="Times New Roman"/>
          <w:sz w:val="28"/>
          <w:szCs w:val="28"/>
        </w:rPr>
        <w:tab/>
      </w:r>
      <w:r w:rsidRPr="006B3BEA">
        <w:rPr>
          <w:rFonts w:ascii="Times New Roman" w:hAnsi="Times New Roman"/>
          <w:sz w:val="28"/>
          <w:szCs w:val="28"/>
        </w:rPr>
        <w:tab/>
      </w:r>
      <w:r w:rsidRPr="006B3BEA">
        <w:rPr>
          <w:rFonts w:ascii="Times New Roman" w:hAnsi="Times New Roman"/>
          <w:sz w:val="28"/>
          <w:szCs w:val="28"/>
        </w:rPr>
        <w:tab/>
      </w:r>
      <w:r w:rsidRPr="006B3BEA">
        <w:rPr>
          <w:rFonts w:ascii="Times New Roman" w:hAnsi="Times New Roman"/>
          <w:sz w:val="28"/>
          <w:szCs w:val="28"/>
        </w:rPr>
        <w:tab/>
        <w:t xml:space="preserve">           В.В. </w:t>
      </w:r>
      <w:proofErr w:type="spellStart"/>
      <w:r w:rsidRPr="006B3BEA">
        <w:rPr>
          <w:rFonts w:ascii="Times New Roman" w:hAnsi="Times New Roman"/>
          <w:sz w:val="28"/>
          <w:szCs w:val="28"/>
        </w:rPr>
        <w:t>Кучковой</w:t>
      </w:r>
      <w:proofErr w:type="spellEnd"/>
    </w:p>
    <w:sectPr w:rsidR="00851E95" w:rsidSect="001D49E1">
      <w:pgSz w:w="11906" w:h="16838" w:code="9"/>
      <w:pgMar w:top="709" w:right="850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59DF"/>
    <w:rsid w:val="00011133"/>
    <w:rsid w:val="00013E4B"/>
    <w:rsid w:val="00076582"/>
    <w:rsid w:val="00147A8D"/>
    <w:rsid w:val="001D49E1"/>
    <w:rsid w:val="004B3AFD"/>
    <w:rsid w:val="004C1E5F"/>
    <w:rsid w:val="00576118"/>
    <w:rsid w:val="0065421B"/>
    <w:rsid w:val="00853CF4"/>
    <w:rsid w:val="00CA29E1"/>
    <w:rsid w:val="00D3304F"/>
    <w:rsid w:val="00FD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кbчный"/>
    <w:rsid w:val="00FD59DF"/>
    <w:pPr>
      <w:widowControl w:val="0"/>
      <w:autoSpaceDE w:val="0"/>
      <w:autoSpaceDN w:val="0"/>
      <w:spacing w:after="0" w:line="240" w:lineRule="auto"/>
    </w:pPr>
    <w:rPr>
      <w:rFonts w:ascii="UkrainianPeterburg" w:eastAsia="Times New Roman" w:hAnsi="UkrainianPeterburg" w:cs="UkrainianPeterburg"/>
      <w:sz w:val="24"/>
      <w:szCs w:val="24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D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9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2472</Words>
  <Characters>14092</Characters>
  <Application>Microsoft Office Word</Application>
  <DocSecurity>0</DocSecurity>
  <Lines>117</Lines>
  <Paragraphs>33</Paragraphs>
  <ScaleCrop>false</ScaleCrop>
  <Company/>
  <LinksUpToDate>false</LinksUpToDate>
  <CharactersWithSpaces>16531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RePack by Diakov</cp:lastModifiedBy>
  <cp:revision>4</cp:revision>
  <dcterms:created xsi:type="dcterms:W3CDTF">2015-10-21T07:51:00Z</dcterms:created>
  <dcterms:modified xsi:type="dcterms:W3CDTF">2016-05-20T11:05:00Z</dcterms:modified>
</cp:coreProperties>
</file>