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06" w:rsidRPr="00AB1726" w:rsidRDefault="00F02206" w:rsidP="00F02206">
      <w:pPr>
        <w:pStyle w:val="HTML"/>
        <w:shd w:val="clear" w:color="auto" w:fill="FFFFFF"/>
        <w:tabs>
          <w:tab w:val="clear" w:pos="5496"/>
          <w:tab w:val="left" w:pos="5245"/>
        </w:tabs>
        <w:ind w:firstLine="5245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УТВЕРЖДЕНО</w:t>
      </w:r>
    </w:p>
    <w:p w:rsidR="00F02206" w:rsidRPr="00AB1726" w:rsidRDefault="00F02206" w:rsidP="00F0220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>приказом Министерства</w:t>
      </w:r>
    </w:p>
    <w:p w:rsidR="00F02206" w:rsidRPr="00AB1726" w:rsidRDefault="00F02206" w:rsidP="00F0220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>экономического развития</w:t>
      </w:r>
    </w:p>
    <w:p w:rsidR="00F02206" w:rsidRPr="00AB1726" w:rsidRDefault="00F02206" w:rsidP="00F0220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>Донецкой Народной Республики</w:t>
      </w:r>
    </w:p>
    <w:p w:rsidR="00F02206" w:rsidRPr="00AB1726" w:rsidRDefault="00F02206" w:rsidP="00F0220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от 13 июля 2016г № 70</w:t>
      </w:r>
    </w:p>
    <w:p w:rsidR="00F02206" w:rsidRDefault="00653DB7" w:rsidP="00F02206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.6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994591" w:rsidRPr="0022579F" w:rsidRDefault="00994591" w:rsidP="00994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proofErr w:type="gramStart"/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gramEnd"/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02206" w:rsidRDefault="00F02206" w:rsidP="00F02206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F02206" w:rsidRDefault="00F02206" w:rsidP="00F02206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F02206" w:rsidRDefault="00F02206" w:rsidP="00F02206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F02206" w:rsidRDefault="00F02206" w:rsidP="00F0220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02206" w:rsidRPr="00AB1726" w:rsidRDefault="00F02206" w:rsidP="00F0220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53DB7" w:rsidRDefault="00653DB7" w:rsidP="00F0220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F02206" w:rsidRPr="00AB1726" w:rsidRDefault="00F02206" w:rsidP="00F0220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F02206" w:rsidRPr="00AB1726" w:rsidRDefault="00F02206" w:rsidP="00F0220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b/>
          <w:sz w:val="28"/>
          <w:szCs w:val="28"/>
        </w:rPr>
        <w:t>по заполнению формы № 17</w:t>
      </w:r>
    </w:p>
    <w:p w:rsidR="00F02206" w:rsidRPr="00AB1726" w:rsidRDefault="00F02206" w:rsidP="00F02206">
      <w:pPr>
        <w:pStyle w:val="HTML"/>
        <w:shd w:val="clear" w:color="auto" w:fill="FFFFFF"/>
        <w:ind w:firstLine="91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b/>
          <w:sz w:val="28"/>
          <w:szCs w:val="28"/>
        </w:rPr>
        <w:t>«Плана закупок,</w:t>
      </w:r>
      <w:r w:rsidRPr="00AB1726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 </w:t>
      </w:r>
    </w:p>
    <w:p w:rsidR="00F02206" w:rsidRPr="00AB1726" w:rsidRDefault="00F02206" w:rsidP="00F0220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процедур закупок,</w:t>
      </w:r>
      <w:r w:rsidRPr="00AB1726">
        <w:rPr>
          <w:rStyle w:val="translation-chunk"/>
          <w:rFonts w:ascii="Times New Roman" w:hAnsi="Times New Roman"/>
          <w:b/>
          <w:sz w:val="28"/>
          <w:szCs w:val="28"/>
        </w:rPr>
        <w:t xml:space="preserve"> на бюджетный период»</w:t>
      </w:r>
    </w:p>
    <w:p w:rsidR="00F02206" w:rsidRPr="00AB1726" w:rsidRDefault="00F02206" w:rsidP="00F02206">
      <w:pPr>
        <w:spacing w:after="0"/>
        <w:jc w:val="both"/>
        <w:rPr>
          <w:rStyle w:val="translation-chunk"/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1. План</w:t>
      </w:r>
      <w:bookmarkStart w:id="0" w:name="_GoBack"/>
      <w:bookmarkEnd w:id="0"/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закупок, которые осуществляются без проведения процедур закупок, на бюджетный период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(далее – план закупок) составляется в</w:t>
      </w:r>
      <w:r w:rsidRPr="00AB1726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 не превышает ценовые пороги, установленные в разделе II </w:t>
      </w:r>
      <w:r w:rsidRPr="00AB1726">
        <w:rPr>
          <w:rFonts w:ascii="Times New Roman" w:hAnsi="Times New Roman"/>
          <w:sz w:val="28"/>
          <w:szCs w:val="28"/>
        </w:rPr>
        <w:t xml:space="preserve"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AB1726">
        <w:rPr>
          <w:rFonts w:ascii="Times New Roman" w:hAnsi="Times New Roman"/>
          <w:sz w:val="28"/>
          <w:szCs w:val="28"/>
        </w:rPr>
        <w:t>от 31.05.2016 № 7-2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(далее – Порядок).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2.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>Графы 1-4 являются обязательными для заполнения, остальные графы заполняются в зависимости от особенностей организации работы Комитета по конкурсным закупкам и источников финансирования закупки.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3.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>Графа 1 – указывается описание предмета закупки согласно разделу XIII Порядка.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4.</w:t>
      </w: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2 – заполняется в соответствии с разделом XIII Порядка.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5.</w:t>
      </w: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3 – является обязательной для заполнения; указываются: и</w:t>
      </w:r>
      <w:r w:rsidRPr="00AB1726">
        <w:rPr>
          <w:rFonts w:ascii="Times New Roman" w:hAnsi="Times New Roman"/>
          <w:sz w:val="28"/>
          <w:szCs w:val="28"/>
        </w:rPr>
        <w:t>сточник финансирования (бюджетные или собственные средства); для бюджетных средств также указываются:  название бюджета и фонда, коды функциональной и экономической классификации расходов (КФКР и КЭКР)</w:t>
      </w: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6.</w:t>
      </w: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4 – указывается ожидаемая стоимость предмета закупки в российских рублях.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7.</w:t>
      </w: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5 – указывается месяц бюджетного периода, в котором заказчик планирует заключить договор без проведения процедур закупок.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8.</w:t>
      </w: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6 – заказчик может указать следующую информацию:</w:t>
      </w:r>
    </w:p>
    <w:p w:rsidR="00F02206" w:rsidRPr="00AB172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наименование главного распорядителя бюджетных средств;</w:t>
      </w:r>
    </w:p>
    <w:p w:rsidR="00F02206" w:rsidRDefault="00F02206" w:rsidP="00F0220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AB172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другую информацию, которую считает необходимой.</w:t>
      </w:r>
    </w:p>
    <w:p w:rsidR="00F02206" w:rsidRPr="00DC0123" w:rsidRDefault="00F02206" w:rsidP="00F0220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02206" w:rsidRPr="001844BA" w:rsidRDefault="00F02206" w:rsidP="00F0220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535FD" w:rsidRDefault="00F02206" w:rsidP="00653DB7">
      <w:pPr>
        <w:pStyle w:val="ParagraphStyle"/>
        <w:jc w:val="both"/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7535FD" w:rsidSect="00DC0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206"/>
    <w:rsid w:val="006058FD"/>
    <w:rsid w:val="00653DB7"/>
    <w:rsid w:val="007017D8"/>
    <w:rsid w:val="007125E8"/>
    <w:rsid w:val="007535FD"/>
    <w:rsid w:val="0082657F"/>
    <w:rsid w:val="008B0C31"/>
    <w:rsid w:val="00994591"/>
    <w:rsid w:val="00B3225F"/>
    <w:rsid w:val="00F0220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7C8F6"/>
  <w15:docId w15:val="{191EF431-3B13-41E3-80B7-48BCFAB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0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02206"/>
  </w:style>
  <w:style w:type="paragraph" w:styleId="a3">
    <w:name w:val="No Spacing"/>
    <w:uiPriority w:val="99"/>
    <w:qFormat/>
    <w:rsid w:val="00F02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F02206"/>
    <w:rPr>
      <w:color w:val="000000"/>
      <w:sz w:val="20"/>
    </w:rPr>
  </w:style>
  <w:style w:type="paragraph" w:customStyle="1" w:styleId="ParagraphStyle">
    <w:name w:val="Paragraph Style"/>
    <w:rsid w:val="00F02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4</cp:revision>
  <dcterms:created xsi:type="dcterms:W3CDTF">2016-07-13T13:57:00Z</dcterms:created>
  <dcterms:modified xsi:type="dcterms:W3CDTF">2016-07-15T09:05:00Z</dcterms:modified>
</cp:coreProperties>
</file>