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</w:t>
        </w:r>
        <w:r w:rsidR="003259B3" w:rsidRPr="003259B3">
          <w:rPr>
            <w:rStyle w:val="a4"/>
            <w:i/>
            <w:sz w:val="24"/>
            <w:szCs w:val="24"/>
          </w:rPr>
          <w:t>0</w:t>
        </w:r>
        <w:r w:rsidR="003259B3" w:rsidRPr="003259B3">
          <w:rPr>
            <w:rStyle w:val="a4"/>
            <w:i/>
            <w:sz w:val="24"/>
            <w:szCs w:val="24"/>
          </w:rPr>
          <w:t>15 № 269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0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2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Государственной службы специальной связи и защиты информации ДНР,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 xml:space="preserve">Льготы работникам и пенсионерам из числа специалистов по защите растений, которые проживают и работают по специальности в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Капитальный ремонт, реконструкция, модернизация и техническое </w:t>
            </w:r>
            <w:r w:rsidRPr="00B571DB">
              <w:rPr>
                <w:rFonts w:cs="Times New Roman"/>
                <w:color w:val="auto"/>
                <w:sz w:val="24"/>
                <w:szCs w:val="24"/>
              </w:rPr>
              <w:t>освидетельствование</w:t>
            </w: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лифтов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Финансовая поддержка спортивных сооружений, принадлежащих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Завершение проектов газификации сельских населенных пунктов с высокой степенью готовности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52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 xml:space="preserve">Расходы, связанные с предоставлением и обслуживанием льготных долгосрочных кредитов, предоставленных гражданам на строительство </w:t>
            </w: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1622D"/>
    <w:rsid w:val="004200B6"/>
    <w:rsid w:val="004210DB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42B9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64-20150430/" TargetMode="External"/><Relationship Id="rId18" Type="http://schemas.openxmlformats.org/officeDocument/2006/relationships/hyperlink" Target="http://gisnpa-dnr.ru/npa/0025-194-20150918/" TargetMode="External"/><Relationship Id="rId26" Type="http://schemas.openxmlformats.org/officeDocument/2006/relationships/hyperlink" Target="http://gisnpa-dnr.ru/npa/0025-64-20150430/" TargetMode="External"/><Relationship Id="rId39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64-20150430/" TargetMode="External"/><Relationship Id="rId34" Type="http://schemas.openxmlformats.org/officeDocument/2006/relationships/hyperlink" Target="http://gisnpa-dnr.ru/npa/0025-64-20150430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gisnpa-dnr.ru/npa/0025-143-20150813/" TargetMode="External"/><Relationship Id="rId12" Type="http://schemas.openxmlformats.org/officeDocument/2006/relationships/hyperlink" Target="http://gisnpa-dnr.ru/npa/0025-143-20150813/" TargetMode="External"/><Relationship Id="rId17" Type="http://schemas.openxmlformats.org/officeDocument/2006/relationships/hyperlink" Target="http://gisnpa-dnr.ru/npa/0025-64-20150430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104-20150526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64-20150430/" TargetMode="External"/><Relationship Id="rId29" Type="http://schemas.openxmlformats.org/officeDocument/2006/relationships/hyperlink" Target="http://gisnpa-dnr.ru/npa/0025-64-20150430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hyperlink" Target="http://gisnpa-dnr.ru/npa/0025-64-201504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1" Type="http://schemas.openxmlformats.org/officeDocument/2006/relationships/hyperlink" Target="http://gisnpa-dnr.ru/npa/0025-104-20150526/" TargetMode="External"/><Relationship Id="rId24" Type="http://schemas.openxmlformats.org/officeDocument/2006/relationships/hyperlink" Target="http://gisnpa-dnr.ru/npa/0025-64-20150430/" TargetMode="External"/><Relationship Id="rId32" Type="http://schemas.openxmlformats.org/officeDocument/2006/relationships/hyperlink" Target="http://gisnpa-dnr.ru/npa/0025-104-20150526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64-20150430/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64-20150430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gisnpa-dnr.ru/npa/0025-194-20150918/" TargetMode="External"/><Relationship Id="rId19" Type="http://schemas.openxmlformats.org/officeDocument/2006/relationships/hyperlink" Target="http://gisnpa-dnr.ru/npa/0025-143-20150813/" TargetMode="External"/><Relationship Id="rId31" Type="http://schemas.openxmlformats.org/officeDocument/2006/relationships/hyperlink" Target="http://gisnpa-dnr.ru/npa/0025-64-20150430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269-201512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4" Type="http://schemas.openxmlformats.org/officeDocument/2006/relationships/hyperlink" Target="http://gisnpa-dnr.ru/npa/0025-104-20150526/" TargetMode="External"/><Relationship Id="rId22" Type="http://schemas.openxmlformats.org/officeDocument/2006/relationships/hyperlink" Target="http://gisnpa-dnr.ru/npa/0025-64-20150430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1F33-0BD0-4EBC-92EB-92ECACC9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44570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6</cp:revision>
  <cp:lastPrinted>2015-02-09T10:12:00Z</cp:lastPrinted>
  <dcterms:created xsi:type="dcterms:W3CDTF">2016-04-18T13:55:00Z</dcterms:created>
  <dcterms:modified xsi:type="dcterms:W3CDTF">2016-07-04T06:53:00Z</dcterms:modified>
</cp:coreProperties>
</file>