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F7" w:rsidRPr="00A46DF2" w:rsidRDefault="00E73AF7" w:rsidP="00E73AF7">
      <w:pPr>
        <w:shd w:val="clear" w:color="auto" w:fill="FFFFFF"/>
        <w:ind w:left="5103"/>
        <w:contextualSpacing/>
        <w:jc w:val="both"/>
      </w:pPr>
      <w:r w:rsidRPr="00A46DF2">
        <w:t xml:space="preserve">Приложение </w:t>
      </w:r>
      <w:r w:rsidR="00D46C69">
        <w:t>5</w:t>
      </w:r>
    </w:p>
    <w:p w:rsidR="00E73AF7" w:rsidRPr="00A46DF2" w:rsidRDefault="00E73AF7" w:rsidP="00E73AF7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преступным путем, и финансированию терроризма </w:t>
      </w:r>
      <w:r w:rsidRPr="00DF2E5E">
        <w:t>(пункт </w:t>
      </w:r>
      <w:r>
        <w:t>4.4</w:t>
      </w:r>
      <w:r w:rsidRPr="00DF2E5E">
        <w:t>)</w:t>
      </w:r>
    </w:p>
    <w:p w:rsidR="00E73AF7" w:rsidRPr="00E73AF7" w:rsidRDefault="00E73AF7" w:rsidP="00E73AF7">
      <w:pPr>
        <w:autoSpaceDE w:val="0"/>
        <w:autoSpaceDN w:val="0"/>
        <w:adjustRightInd w:val="0"/>
        <w:jc w:val="both"/>
        <w:outlineLvl w:val="1"/>
      </w:pPr>
    </w:p>
    <w:p w:rsidR="00E73AF7" w:rsidRPr="00E73AF7" w:rsidRDefault="00E73AF7" w:rsidP="00E73AF7">
      <w:pPr>
        <w:pStyle w:val="a5"/>
        <w:spacing w:before="2"/>
        <w:jc w:val="center"/>
        <w:rPr>
          <w:b w:val="0"/>
          <w:sz w:val="24"/>
          <w:szCs w:val="24"/>
        </w:rPr>
      </w:pPr>
    </w:p>
    <w:p w:rsidR="00E73AF7" w:rsidRPr="00E73AF7" w:rsidRDefault="00E73AF7" w:rsidP="00E73AF7">
      <w:pPr>
        <w:pStyle w:val="a5"/>
        <w:spacing w:before="2"/>
        <w:jc w:val="center"/>
        <w:rPr>
          <w:b w:val="0"/>
          <w:sz w:val="24"/>
          <w:szCs w:val="24"/>
        </w:rPr>
      </w:pPr>
      <w:r w:rsidRPr="00E73AF7">
        <w:rPr>
          <w:sz w:val="24"/>
          <w:szCs w:val="24"/>
        </w:rPr>
        <w:t>Основные критерии выявления необычных</w:t>
      </w:r>
      <w:r w:rsidRPr="00E73AF7">
        <w:rPr>
          <w:b w:val="0"/>
          <w:sz w:val="24"/>
          <w:szCs w:val="24"/>
        </w:rPr>
        <w:t xml:space="preserve"> </w:t>
      </w:r>
      <w:r w:rsidRPr="00E73AF7">
        <w:rPr>
          <w:sz w:val="24"/>
          <w:szCs w:val="24"/>
        </w:rPr>
        <w:t>сделок</w:t>
      </w:r>
    </w:p>
    <w:p w:rsidR="00E73AF7" w:rsidRPr="00E73AF7" w:rsidRDefault="00E73AF7" w:rsidP="00E73AF7">
      <w:pPr>
        <w:pStyle w:val="a5"/>
        <w:spacing w:before="2"/>
        <w:jc w:val="center"/>
        <w:rPr>
          <w:b w:val="0"/>
          <w:sz w:val="24"/>
          <w:szCs w:val="24"/>
        </w:rPr>
      </w:pPr>
    </w:p>
    <w:p w:rsidR="00E73AF7" w:rsidRPr="00E73AF7" w:rsidRDefault="00E73AF7" w:rsidP="00E73AF7">
      <w:pPr>
        <w:pStyle w:val="a5"/>
        <w:spacing w:before="2"/>
        <w:jc w:val="center"/>
        <w:rPr>
          <w:b w:val="0"/>
          <w:sz w:val="24"/>
          <w:szCs w:val="24"/>
        </w:rPr>
      </w:pPr>
    </w:p>
    <w:tbl>
      <w:tblPr>
        <w:tblW w:w="9782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074"/>
      </w:tblGrid>
      <w:tr w:rsidR="00E73AF7" w:rsidRPr="00E73AF7" w:rsidTr="00EC4764">
        <w:trPr>
          <w:trHeight w:hRule="exact" w:val="756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№ п/п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ind w:left="3771" w:right="3772"/>
              <w:jc w:val="center"/>
              <w:rPr>
                <w:sz w:val="24"/>
                <w:szCs w:val="24"/>
              </w:rPr>
            </w:pPr>
            <w:proofErr w:type="spellStart"/>
            <w:r w:rsidRPr="00EC4764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E73AF7" w:rsidRPr="00E73AF7" w:rsidTr="00EC4764">
        <w:trPr>
          <w:trHeight w:hRule="exact" w:val="226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Немотивированный отказ в предоставлении клиентом сведений (помимо установленных нормативными правовыми документами), запрашиваемых в соответствии со сложившейся практикой, в том числе о своем доверителе (в случае, когда клиент выступает в качестве представителя юридического или физического лица) либо выгодоприобретателе, а также излишняя озабоченность клиента вопросами конфиденциальности в отношении осуществляемой операции (сделки)</w:t>
            </w:r>
          </w:p>
        </w:tc>
      </w:tr>
      <w:tr w:rsidR="00E73AF7" w:rsidRPr="00E73AF7" w:rsidTr="00EC4764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Пренебрежение клиентом более выгодными условиями оказания услуг (тариф комиссионного вознаграждения и т. д.), а также предложение клиентом необычно высокой комиссии или комиссии, заведомо отличающейся от обычно взимаемой комиссии при оказании такого рода услуг</w:t>
            </w:r>
          </w:p>
        </w:tc>
      </w:tr>
      <w:tr w:rsidR="00E73AF7" w:rsidRPr="00E73AF7" w:rsidTr="00EC4764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Наличие нестандартных или необычно сложных схем по порядку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 xml:space="preserve">проведения </w:t>
            </w:r>
            <w:r w:rsidR="008E04B1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расчетов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, отличающихся от обычной  практики,  </w:t>
            </w:r>
            <w:r w:rsidR="008E04B1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 xml:space="preserve">используемой  </w:t>
            </w:r>
            <w:r w:rsidR="008E04B1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данным клиентом, или от обычной рыночной практики</w:t>
            </w:r>
          </w:p>
        </w:tc>
      </w:tr>
      <w:tr w:rsidR="00E73AF7" w:rsidRPr="00E73AF7" w:rsidTr="00EC4764">
        <w:trPr>
          <w:trHeight w:hRule="exact" w:val="1946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4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Поручение клиента осуществить возврат ранее перечисленных денежных средств в течение короткого промежутка времени на счет клиента,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отличный</w:t>
            </w:r>
            <w:r w:rsidR="008E04B1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 xml:space="preserve"> от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счета, </w:t>
            </w:r>
            <w:r w:rsidR="008E04B1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 xml:space="preserve">с которого данные денежные средства были ранее зачислены, в том числе на счет в </w:t>
            </w:r>
            <w:r w:rsidR="008E04B1">
              <w:rPr>
                <w:sz w:val="24"/>
                <w:szCs w:val="24"/>
                <w:lang w:val="ru-RU"/>
              </w:rPr>
              <w:t xml:space="preserve">    </w:t>
            </w:r>
            <w:r w:rsidRPr="00EC4764">
              <w:rPr>
                <w:sz w:val="24"/>
                <w:szCs w:val="24"/>
                <w:lang w:val="ru-RU"/>
              </w:rPr>
              <w:t>банк нерезидент, л</w:t>
            </w:r>
            <w:bookmarkStart w:id="0" w:name="_GoBack"/>
            <w:bookmarkEnd w:id="0"/>
            <w:r w:rsidRPr="00EC4764">
              <w:rPr>
                <w:sz w:val="24"/>
                <w:szCs w:val="24"/>
                <w:lang w:val="ru-RU"/>
              </w:rPr>
              <w:t>ибо на счет третьего лица, не являющегося стороной по сделке, в том числе при досрочном расторжении договора (сделки)</w:t>
            </w:r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5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spacing w:line="242" w:lineRule="auto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Настоятельное желание клиента работать самостоятельно с удаленного терминала</w:t>
            </w:r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6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tabs>
                <w:tab w:val="left" w:pos="1522"/>
                <w:tab w:val="left" w:pos="1977"/>
                <w:tab w:val="left" w:pos="3488"/>
                <w:tab w:val="left" w:pos="4803"/>
                <w:tab w:val="left" w:pos="6565"/>
                <w:tab w:val="left" w:pos="7040"/>
                <w:tab w:val="left" w:pos="8720"/>
              </w:tabs>
              <w:ind w:right="61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Внесение</w:t>
            </w:r>
            <w:r w:rsidRPr="00EC4764">
              <w:rPr>
                <w:sz w:val="24"/>
                <w:szCs w:val="24"/>
                <w:lang w:val="ru-RU"/>
              </w:rPr>
              <w:tab/>
              <w:t>в</w:t>
            </w:r>
            <w:r w:rsidRPr="00EC4764">
              <w:rPr>
                <w:sz w:val="24"/>
                <w:szCs w:val="24"/>
                <w:lang w:val="ru-RU"/>
              </w:rPr>
              <w:tab/>
              <w:t>операцию</w:t>
            </w:r>
            <w:r w:rsidRPr="00EC4764">
              <w:rPr>
                <w:sz w:val="24"/>
                <w:szCs w:val="24"/>
                <w:lang w:val="ru-RU"/>
              </w:rPr>
              <w:tab/>
              <w:t>(сделку)</w:t>
            </w:r>
            <w:r w:rsidRPr="00EC4764">
              <w:rPr>
                <w:sz w:val="24"/>
                <w:szCs w:val="24"/>
                <w:lang w:val="ru-RU"/>
              </w:rPr>
              <w:tab/>
              <w:t>дополнений</w:t>
            </w:r>
            <w:r w:rsidRPr="00EC4764">
              <w:rPr>
                <w:sz w:val="24"/>
                <w:szCs w:val="24"/>
                <w:lang w:val="ru-RU"/>
              </w:rPr>
              <w:tab/>
              <w:t>и</w:t>
            </w:r>
            <w:r w:rsidRPr="00EC4764">
              <w:rPr>
                <w:sz w:val="24"/>
                <w:szCs w:val="24"/>
                <w:lang w:val="ru-RU"/>
              </w:rPr>
              <w:tab/>
              <w:t>изменений,</w:t>
            </w:r>
            <w:r w:rsidRPr="00EC4764">
              <w:rPr>
                <w:sz w:val="24"/>
                <w:szCs w:val="24"/>
                <w:lang w:val="ru-RU"/>
              </w:rPr>
              <w:tab/>
              <w:t>не соответствующих установившейся практике</w:t>
            </w:r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7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tabs>
                <w:tab w:val="left" w:pos="5977"/>
                <w:tab w:val="left" w:pos="7455"/>
                <w:tab w:val="left" w:pos="8010"/>
              </w:tabs>
              <w:ind w:right="61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Необоснованная   поспешность в проведении</w:t>
            </w:r>
            <w:r w:rsidRPr="00EC4764">
              <w:rPr>
                <w:sz w:val="24"/>
                <w:szCs w:val="24"/>
                <w:lang w:val="ru-RU"/>
              </w:rPr>
              <w:tab/>
              <w:t>операции,</w:t>
            </w:r>
            <w:r w:rsidRPr="00EC4764">
              <w:rPr>
                <w:sz w:val="24"/>
                <w:szCs w:val="24"/>
                <w:lang w:val="ru-RU"/>
              </w:rPr>
              <w:tab/>
              <w:t>на</w:t>
            </w:r>
            <w:r w:rsidRPr="00EC4764">
              <w:rPr>
                <w:sz w:val="24"/>
                <w:szCs w:val="24"/>
                <w:lang w:val="ru-RU"/>
              </w:rPr>
              <w:tab/>
              <w:t>которой настаивает клиент</w:t>
            </w:r>
          </w:p>
        </w:tc>
      </w:tr>
      <w:tr w:rsidR="00E73AF7" w:rsidRPr="00E73AF7" w:rsidTr="00EC4764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8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Внесение клиентом в ранее согласованную схему операции (сделки) непосредственно перед началом ее реализации значительных изменений, особенно касающихся направления движения денежных средств или иного имущества</w:t>
            </w:r>
          </w:p>
        </w:tc>
      </w:tr>
      <w:tr w:rsidR="00E73AF7" w:rsidRPr="00E73AF7" w:rsidTr="00EC4764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Передача клиентом поручения об осуществлении операции через представителя (посредника), если представитель (посредник) выполняет поручение клиента без вступления в прямой (личный) контакт с субъектом первичного финансового мониторинга</w:t>
            </w:r>
          </w:p>
        </w:tc>
      </w:tr>
      <w:tr w:rsidR="00E73AF7" w:rsidRPr="00E73AF7" w:rsidTr="00EC4764">
        <w:trPr>
          <w:trHeight w:hRule="exact" w:val="1301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10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Осуществление операций с использованием дистанционных систем обслуживания, в случае, если возникает подозрение, что такими системами пользуется третье лицо, а не сам клиент (представитель клиента)</w:t>
            </w:r>
          </w:p>
        </w:tc>
      </w:tr>
      <w:tr w:rsidR="00E73AF7" w:rsidRPr="00E73AF7" w:rsidTr="00EC4764">
        <w:trPr>
          <w:trHeight w:hRule="exact" w:val="1627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11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Сложности, возникающие при проверке предоставляемых клиентом сведений, неоправданные задержки в предоставлении клиентом документов и информации по операции (сделке), предоставление клиентом информации, которую невозможно проверить, или данная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проверка  является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слишком дорогостоящей</w:t>
            </w:r>
          </w:p>
        </w:tc>
      </w:tr>
      <w:tr w:rsidR="00E73AF7" w:rsidRPr="00E73AF7" w:rsidTr="00EC4764">
        <w:trPr>
          <w:trHeight w:hRule="exact" w:val="38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12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ind w:right="63"/>
              <w:rPr>
                <w:sz w:val="24"/>
                <w:szCs w:val="24"/>
              </w:rPr>
            </w:pPr>
            <w:proofErr w:type="spellStart"/>
            <w:r w:rsidRPr="00EC4764">
              <w:rPr>
                <w:sz w:val="24"/>
                <w:szCs w:val="24"/>
              </w:rPr>
              <w:t>Невозможность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установления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контрагентов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64">
              <w:rPr>
                <w:sz w:val="24"/>
                <w:szCs w:val="24"/>
              </w:rPr>
              <w:t>клиента</w:t>
            </w:r>
            <w:proofErr w:type="spellEnd"/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13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tabs>
                <w:tab w:val="left" w:pos="7541"/>
              </w:tabs>
              <w:ind w:right="117"/>
              <w:rPr>
                <w:sz w:val="24"/>
                <w:szCs w:val="24"/>
                <w:lang w:val="ru-RU"/>
              </w:rPr>
            </w:pPr>
            <w:proofErr w:type="gramStart"/>
            <w:r w:rsidRPr="00EC4764">
              <w:rPr>
                <w:sz w:val="24"/>
                <w:szCs w:val="24"/>
                <w:lang w:val="ru-RU"/>
              </w:rPr>
              <w:t>Настаивание  клиента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на  проведении расчетов наличными</w:t>
            </w:r>
            <w:r w:rsidRPr="00EC4764">
              <w:rPr>
                <w:sz w:val="24"/>
                <w:szCs w:val="24"/>
                <w:lang w:val="ru-RU"/>
              </w:rPr>
              <w:tab/>
            </w:r>
            <w:r w:rsidRPr="00EC4764">
              <w:rPr>
                <w:spacing w:val="-1"/>
                <w:sz w:val="24"/>
                <w:szCs w:val="24"/>
                <w:lang w:val="ru-RU"/>
              </w:rPr>
              <w:t xml:space="preserve">денежными </w:t>
            </w:r>
            <w:r w:rsidRPr="00EC4764">
              <w:rPr>
                <w:sz w:val="24"/>
                <w:szCs w:val="24"/>
                <w:lang w:val="ru-RU"/>
              </w:rPr>
              <w:t>средствами</w:t>
            </w:r>
          </w:p>
        </w:tc>
      </w:tr>
      <w:tr w:rsidR="00E73AF7" w:rsidRPr="00E73AF7" w:rsidTr="00EC4764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14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Совершение операций с ценными бумагами, в том числе с векселями, необеспеченными активами своих эмитентов</w:t>
            </w:r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15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tabs>
                <w:tab w:val="left" w:pos="7676"/>
                <w:tab w:val="left" w:pos="8758"/>
              </w:tabs>
              <w:spacing w:line="242" w:lineRule="auto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Приобретение   или   продажа   физическим лицом ценных</w:t>
            </w:r>
            <w:r w:rsidRPr="00EC4764">
              <w:rPr>
                <w:sz w:val="24"/>
                <w:szCs w:val="24"/>
                <w:lang w:val="ru-RU"/>
              </w:rPr>
              <w:tab/>
              <w:t>бумаг</w:t>
            </w:r>
            <w:r w:rsidRPr="00EC4764">
              <w:rPr>
                <w:sz w:val="24"/>
                <w:szCs w:val="24"/>
                <w:lang w:val="ru-RU"/>
              </w:rPr>
              <w:tab/>
              <w:t xml:space="preserve">за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наличный  расчет</w:t>
            </w:r>
            <w:proofErr w:type="gramEnd"/>
          </w:p>
        </w:tc>
      </w:tr>
      <w:tr w:rsidR="00E73AF7" w:rsidRPr="00E73AF7" w:rsidTr="00EC4764">
        <w:trPr>
          <w:trHeight w:hRule="exact" w:val="979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16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2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Перевод денежных средств на анонимный (номерной) счет (во вклад) за границу и поступление денежных средств с анонимного (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номерного)  счета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(вклада) из-за</w:t>
            </w:r>
            <w:r w:rsidR="0083369A">
              <w:rPr>
                <w:sz w:val="24"/>
                <w:szCs w:val="24"/>
                <w:lang w:val="ru-RU"/>
              </w:rPr>
              <w:t xml:space="preserve"> </w:t>
            </w:r>
            <w:r w:rsidRPr="00EC4764">
              <w:rPr>
                <w:sz w:val="24"/>
                <w:szCs w:val="24"/>
                <w:lang w:val="ru-RU"/>
              </w:rPr>
              <w:t>границы</w:t>
            </w:r>
          </w:p>
        </w:tc>
      </w:tr>
      <w:tr w:rsidR="00E73AF7" w:rsidRPr="00E73AF7" w:rsidTr="00EC4764">
        <w:trPr>
          <w:trHeight w:hRule="exact" w:val="386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17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Использование нескольких счетов для расчетов в рамках одного договора</w:t>
            </w:r>
          </w:p>
        </w:tc>
      </w:tr>
      <w:tr w:rsidR="00E73AF7" w:rsidRPr="00E73AF7" w:rsidTr="00EC4764">
        <w:trPr>
          <w:trHeight w:hRule="exact" w:val="130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18*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Участник операции с денежными средствами или иным имуществом зарегистрирован в государстве или на территории офшорной зоны либо его счет открыт в банке, зарегистрированном в указанном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государстве  или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на указанной территории</w:t>
            </w:r>
          </w:p>
        </w:tc>
      </w:tr>
      <w:tr w:rsidR="00E73AF7" w:rsidRPr="00E73AF7" w:rsidTr="00EC4764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19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9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Немотивированное требование клиента о расторжении договора и/или возврате уплаченных клиентом денежных средств до фактического осуществления операции (сделке)</w:t>
            </w:r>
          </w:p>
        </w:tc>
      </w:tr>
      <w:tr w:rsidR="00E73AF7" w:rsidRPr="00E73AF7" w:rsidTr="00EC4764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20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Существенное отклонение суммы сделки относительно действующих рыночных цен, в том числе по настоянию клиента</w:t>
            </w:r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21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tabs>
                <w:tab w:val="left" w:pos="2245"/>
              </w:tabs>
              <w:spacing w:line="242" w:lineRule="auto"/>
              <w:ind w:right="59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Осуществление</w:t>
            </w:r>
            <w:r w:rsidRPr="00EC4764">
              <w:rPr>
                <w:sz w:val="24"/>
                <w:szCs w:val="24"/>
                <w:lang w:val="ru-RU"/>
              </w:rPr>
              <w:tab/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расчетов  между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 сторонами  сделки с использованием расчетных счетов третьих лиц</w:t>
            </w:r>
          </w:p>
        </w:tc>
      </w:tr>
      <w:tr w:rsidR="00E73AF7" w:rsidRPr="00E73AF7" w:rsidTr="00EC4764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22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Уплата резидентом нерезиденту неустойки (пени, штрафа) за неисполнение договора поставки товаров (выполнения работ, оказания услуг) или за нарушение условий договора, если размер неустойки превышает десять процентов от суммы </w:t>
            </w:r>
            <w:proofErr w:type="spellStart"/>
            <w:r w:rsidRPr="00EC4764">
              <w:rPr>
                <w:sz w:val="24"/>
                <w:szCs w:val="24"/>
                <w:lang w:val="ru-RU"/>
              </w:rPr>
              <w:t>непоставленных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 xml:space="preserve"> товаров (невыполненных работ, </w:t>
            </w:r>
            <w:proofErr w:type="spellStart"/>
            <w:r w:rsidRPr="00EC4764">
              <w:rPr>
                <w:sz w:val="24"/>
                <w:szCs w:val="24"/>
                <w:lang w:val="ru-RU"/>
              </w:rPr>
              <w:t>неоказанных</w:t>
            </w:r>
            <w:proofErr w:type="spellEnd"/>
            <w:r w:rsidRPr="00EC4764">
              <w:rPr>
                <w:sz w:val="24"/>
                <w:szCs w:val="24"/>
                <w:lang w:val="ru-RU"/>
              </w:rPr>
              <w:t xml:space="preserve"> услуг)</w:t>
            </w:r>
          </w:p>
        </w:tc>
      </w:tr>
      <w:tr w:rsidR="00E73AF7" w:rsidRPr="00E73AF7" w:rsidTr="00EC4764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Получателем денежных средств либо товаров (работ, услуг) является нерезидент, не являющийся стороной по договору (контракту), предусматривающему импорт (экспорт) резидентом товаров (работ, услуг)</w:t>
            </w:r>
          </w:p>
        </w:tc>
      </w:tr>
      <w:tr w:rsidR="00E73AF7" w:rsidRPr="00E73AF7" w:rsidTr="00EC4764">
        <w:trPr>
          <w:trHeight w:hRule="exact" w:val="95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24*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В договоре (контракте) предусмотрены экспорт резидентом товаров (работ, услуг) либо платежи по импорту товаров (работ, услуг) в пользу нерезидента, зарегистрированного в государстве или на территории офшорной зоны</w:t>
            </w:r>
          </w:p>
        </w:tc>
      </w:tr>
      <w:tr w:rsidR="00E73AF7" w:rsidRPr="00E73AF7" w:rsidTr="00EC4764">
        <w:trPr>
          <w:trHeight w:hRule="exact" w:val="1625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25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Перечисление денежных средств в адрес нерезидента </w:t>
            </w:r>
            <w:proofErr w:type="gramStart"/>
            <w:r w:rsidRPr="00EC4764">
              <w:rPr>
                <w:sz w:val="24"/>
                <w:szCs w:val="24"/>
                <w:lang w:val="ru-RU"/>
              </w:rPr>
              <w:t>по  внешнеторговым</w:t>
            </w:r>
            <w:proofErr w:type="gramEnd"/>
            <w:r w:rsidRPr="00EC4764">
              <w:rPr>
                <w:sz w:val="24"/>
                <w:szCs w:val="24"/>
                <w:lang w:val="ru-RU"/>
              </w:rPr>
              <w:t xml:space="preserve"> сделкам, связанным с оказанием информационно- консультативных и маркетинговых услуг, передачей результатов интеллектуальной деятельности, в том числе исключительных прав на них, и других  видов услуг нематериального характера</w:t>
            </w:r>
          </w:p>
        </w:tc>
      </w:tr>
      <w:tr w:rsidR="00E73AF7" w:rsidRPr="00E73AF7" w:rsidTr="00EC4764">
        <w:trPr>
          <w:trHeight w:hRule="exact" w:val="130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26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Отсутствие очевидной связи между характером и родом деятельности клиента с услугами, за которыми клиент обращается к субъекту первичного финансового мониторинга, осуществляющему операции с денежными средствами или иным имуществом</w:t>
            </w:r>
          </w:p>
        </w:tc>
      </w:tr>
      <w:tr w:rsidR="00E73AF7" w:rsidRPr="00E73AF7" w:rsidTr="00EC4764">
        <w:trPr>
          <w:trHeight w:hRule="exact" w:val="660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27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Запутанный или необычный характер сделки, не имеющей очевидного экономического смысла или очевидной законной цели</w:t>
            </w:r>
          </w:p>
        </w:tc>
      </w:tr>
      <w:tr w:rsidR="00E73AF7" w:rsidRPr="00E73AF7" w:rsidTr="00EC4764">
        <w:trPr>
          <w:trHeight w:hRule="exact" w:val="658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28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Несоответствие сделки целям деятельности организации, установленным учредительными документами этого юридического лица</w:t>
            </w:r>
          </w:p>
        </w:tc>
      </w:tr>
      <w:tr w:rsidR="00E73AF7" w:rsidRPr="00E73AF7" w:rsidTr="00EC4764">
        <w:trPr>
          <w:trHeight w:hRule="exact" w:val="1303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29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Выявление неоднократного совершения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Временным положением</w:t>
            </w:r>
          </w:p>
        </w:tc>
      </w:tr>
      <w:tr w:rsidR="00E73AF7" w:rsidRPr="00E73AF7" w:rsidTr="00EC4764">
        <w:trPr>
          <w:trHeight w:hRule="exact" w:val="982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30</w:t>
            </w:r>
          </w:p>
        </w:tc>
        <w:tc>
          <w:tcPr>
            <w:tcW w:w="9074" w:type="dxa"/>
          </w:tcPr>
          <w:p w:rsidR="00E73AF7" w:rsidRPr="00EC4764" w:rsidRDefault="00E73AF7" w:rsidP="00EC4764">
            <w:pPr>
              <w:pStyle w:val="TableParagraph"/>
              <w:ind w:right="60"/>
              <w:jc w:val="both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>Предоставление юридическим лицом беспроцентного займа в наличной форме физическому лицу и/или другому юридическому лицу, а также получение в наличной форме такого займа</w:t>
            </w:r>
          </w:p>
        </w:tc>
      </w:tr>
      <w:tr w:rsidR="00E73AF7" w:rsidRPr="00E73AF7" w:rsidTr="00EC4764">
        <w:trPr>
          <w:trHeight w:hRule="exact" w:val="384"/>
        </w:trPr>
        <w:tc>
          <w:tcPr>
            <w:tcW w:w="708" w:type="dxa"/>
          </w:tcPr>
          <w:p w:rsidR="00E73AF7" w:rsidRPr="00EC4764" w:rsidRDefault="00E73AF7" w:rsidP="00EC47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C4764">
              <w:rPr>
                <w:sz w:val="24"/>
                <w:szCs w:val="24"/>
              </w:rPr>
              <w:t>31</w:t>
            </w:r>
          </w:p>
        </w:tc>
        <w:tc>
          <w:tcPr>
            <w:tcW w:w="9074" w:type="dxa"/>
          </w:tcPr>
          <w:p w:rsidR="00E73AF7" w:rsidRPr="00EC4764" w:rsidRDefault="00E73AF7" w:rsidP="00C1597F">
            <w:pPr>
              <w:pStyle w:val="TableParagraph"/>
              <w:spacing w:line="315" w:lineRule="exact"/>
              <w:ind w:right="63"/>
              <w:rPr>
                <w:sz w:val="24"/>
                <w:szCs w:val="24"/>
                <w:lang w:val="ru-RU"/>
              </w:rPr>
            </w:pPr>
            <w:r w:rsidRPr="00EC4764">
              <w:rPr>
                <w:sz w:val="24"/>
                <w:szCs w:val="24"/>
                <w:lang w:val="ru-RU"/>
              </w:rPr>
              <w:t xml:space="preserve">Иные критерии по усмотрению </w:t>
            </w:r>
            <w:r w:rsidR="00C1597F">
              <w:rPr>
                <w:sz w:val="24"/>
                <w:szCs w:val="24"/>
                <w:lang w:val="ru-RU"/>
              </w:rPr>
              <w:t>нотариуса</w:t>
            </w:r>
          </w:p>
        </w:tc>
      </w:tr>
    </w:tbl>
    <w:p w:rsidR="00E73AF7" w:rsidRDefault="00E73AF7" w:rsidP="00E73AF7">
      <w:pPr>
        <w:pStyle w:val="a5"/>
        <w:spacing w:before="2"/>
        <w:rPr>
          <w:sz w:val="22"/>
        </w:rPr>
      </w:pPr>
    </w:p>
    <w:p w:rsidR="00E73AF7" w:rsidRDefault="00E73AF7" w:rsidP="00E73AF7">
      <w:pPr>
        <w:pStyle w:val="a5"/>
        <w:spacing w:before="2"/>
        <w:rPr>
          <w:sz w:val="22"/>
        </w:rPr>
      </w:pPr>
    </w:p>
    <w:p w:rsidR="00E73AF7" w:rsidRDefault="00E73AF7" w:rsidP="00E73AF7">
      <w:pPr>
        <w:pStyle w:val="a5"/>
        <w:spacing w:before="2"/>
        <w:rPr>
          <w:sz w:val="22"/>
        </w:rPr>
      </w:pPr>
    </w:p>
    <w:p w:rsidR="00E73AF7" w:rsidRDefault="00E73AF7" w:rsidP="00E73AF7">
      <w:pPr>
        <w:pStyle w:val="a5"/>
        <w:spacing w:before="2"/>
        <w:rPr>
          <w:sz w:val="22"/>
        </w:rPr>
      </w:pPr>
    </w:p>
    <w:p w:rsidR="00E73AF7" w:rsidRDefault="00E73AF7" w:rsidP="00E73AF7">
      <w:pPr>
        <w:pStyle w:val="a5"/>
        <w:spacing w:before="2"/>
        <w:rPr>
          <w:sz w:val="22"/>
        </w:rPr>
      </w:pPr>
    </w:p>
    <w:p w:rsidR="00E73AF7" w:rsidRDefault="00E73AF7" w:rsidP="00E73AF7">
      <w:pPr>
        <w:pStyle w:val="a5"/>
        <w:spacing w:before="2"/>
        <w:rPr>
          <w:sz w:val="22"/>
        </w:rPr>
      </w:pPr>
    </w:p>
    <w:p w:rsidR="00A35ED8" w:rsidRDefault="00A35ED8" w:rsidP="00A45F68">
      <w:pPr>
        <w:shd w:val="clear" w:color="auto" w:fill="FFFFFF"/>
        <w:autoSpaceDE w:val="0"/>
        <w:autoSpaceDN w:val="0"/>
        <w:adjustRightInd w:val="0"/>
        <w:spacing w:before="2"/>
        <w:jc w:val="both"/>
        <w:rPr>
          <w:sz w:val="28"/>
          <w:szCs w:val="28"/>
        </w:rPr>
      </w:pPr>
    </w:p>
    <w:sectPr w:rsidR="00A35ED8" w:rsidSect="00A45F68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3A" w:rsidRDefault="00930B3A">
      <w:r>
        <w:separator/>
      </w:r>
    </w:p>
  </w:endnote>
  <w:endnote w:type="continuationSeparator" w:id="0">
    <w:p w:rsidR="00930B3A" w:rsidRDefault="009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3A" w:rsidRDefault="00930B3A">
      <w:r>
        <w:separator/>
      </w:r>
    </w:p>
  </w:footnote>
  <w:footnote w:type="continuationSeparator" w:id="0">
    <w:p w:rsidR="00930B3A" w:rsidRDefault="0093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E04B1">
      <w:rPr>
        <w:noProof/>
      </w:rPr>
      <w:t>3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2642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431B"/>
    <w:rsid w:val="006D4622"/>
    <w:rsid w:val="006E07FD"/>
    <w:rsid w:val="006E1B94"/>
    <w:rsid w:val="006E225C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2361"/>
    <w:rsid w:val="008A34AD"/>
    <w:rsid w:val="008B2134"/>
    <w:rsid w:val="008C0AEA"/>
    <w:rsid w:val="008C7100"/>
    <w:rsid w:val="008D066C"/>
    <w:rsid w:val="008E04B1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0B3A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5F68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3058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082D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CCF2B"/>
  <w15:docId w15:val="{7A583EEF-67A7-4F27-81DE-C41496F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8410-1FA0-47EA-9A93-CCB8CD15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6</cp:revision>
  <cp:lastPrinted>2016-07-26T08:06:00Z</cp:lastPrinted>
  <dcterms:created xsi:type="dcterms:W3CDTF">2016-08-03T07:52:00Z</dcterms:created>
  <dcterms:modified xsi:type="dcterms:W3CDTF">2016-08-03T08:31:00Z</dcterms:modified>
</cp:coreProperties>
</file>