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9" w:rsidRDefault="00676A89" w:rsidP="00676A89">
      <w:pPr>
        <w:tabs>
          <w:tab w:val="left" w:pos="1122"/>
        </w:tabs>
        <w:ind w:left="5600"/>
        <w:jc w:val="both"/>
      </w:pPr>
      <w:r>
        <w:rPr>
          <w:rStyle w:val="70"/>
          <w:rFonts w:eastAsiaTheme="minorHAnsi"/>
        </w:rPr>
        <w:t>Приложение № 2</w:t>
      </w:r>
    </w:p>
    <w:p w:rsidR="00676A89" w:rsidRDefault="00676A89" w:rsidP="00676A89">
      <w:pPr>
        <w:ind w:left="5600"/>
      </w:pPr>
      <w:r>
        <w:rPr>
          <w:rStyle w:val="70"/>
          <w:rFonts w:eastAsiaTheme="minorHAnsi"/>
        </w:rPr>
        <w:t xml:space="preserve">К постановлению Совета Министров № </w:t>
      </w:r>
      <w:r>
        <w:rPr>
          <w:rStyle w:val="70"/>
          <w:rFonts w:eastAsiaTheme="minorHAnsi"/>
        </w:rPr>
        <w:t>35-11</w:t>
      </w:r>
      <w:r>
        <w:rPr>
          <w:rStyle w:val="70"/>
          <w:rFonts w:eastAsiaTheme="minorHAnsi"/>
        </w:rPr>
        <w:t xml:space="preserve"> от </w:t>
      </w:r>
      <w:r>
        <w:rPr>
          <w:rStyle w:val="70"/>
          <w:rFonts w:eastAsiaTheme="minorHAnsi"/>
        </w:rPr>
        <w:t>26.09.2014</w:t>
      </w:r>
    </w:p>
    <w:p w:rsidR="00676A89" w:rsidRDefault="00676A89" w:rsidP="00676A89">
      <w:pPr>
        <w:spacing w:after="862"/>
        <w:ind w:left="5600"/>
      </w:pPr>
      <w:r>
        <w:rPr>
          <w:rStyle w:val="70"/>
          <w:rFonts w:eastAsiaTheme="minorHAnsi"/>
        </w:rPr>
        <w:t>«Об утверждении Положения и структуры Министерства образования и</w:t>
      </w:r>
      <w:bookmarkStart w:id="0" w:name="_GoBack"/>
      <w:bookmarkEnd w:id="0"/>
      <w:r>
        <w:rPr>
          <w:rStyle w:val="70"/>
          <w:rFonts w:eastAsiaTheme="minorHAnsi"/>
        </w:rPr>
        <w:t xml:space="preserve"> науки»</w:t>
      </w:r>
    </w:p>
    <w:p w:rsidR="00676A89" w:rsidRDefault="00676A89" w:rsidP="00676A89">
      <w:pPr>
        <w:keepNext/>
        <w:keepLines/>
        <w:spacing w:after="0"/>
        <w:ind w:left="100"/>
      </w:pPr>
      <w:bookmarkStart w:id="1" w:name="bookmark5"/>
      <w:r>
        <w:rPr>
          <w:rStyle w:val="30"/>
          <w:rFonts w:eastAsiaTheme="minorHAnsi"/>
          <w:b w:val="0"/>
          <w:bCs w:val="0"/>
        </w:rPr>
        <w:t>Структура министерства</w:t>
      </w:r>
      <w:bookmarkEnd w:id="1"/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Министр.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Первый заместитель министра.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Заместитель министра.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Заместитель министра.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Советник-консультант.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760" w:hanging="340"/>
      </w:pPr>
      <w:r>
        <w:rPr>
          <w:rStyle w:val="20"/>
          <w:rFonts w:eastAsiaTheme="minorHAnsi"/>
        </w:rPr>
        <w:t>Департамент государственной политики в сфере высшего образования, науки и технологии.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9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высшего образования.</w:t>
      </w:r>
    </w:p>
    <w:p w:rsidR="00676A89" w:rsidRDefault="00676A89" w:rsidP="00676A89">
      <w:pPr>
        <w:widowControl w:val="0"/>
        <w:numPr>
          <w:ilvl w:val="2"/>
          <w:numId w:val="1"/>
        </w:numPr>
        <w:tabs>
          <w:tab w:val="left" w:pos="1210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 xml:space="preserve">Сектор по учебным заведениям </w:t>
      </w:r>
      <w:r>
        <w:rPr>
          <w:rStyle w:val="20"/>
          <w:rFonts w:eastAsiaTheme="minorHAnsi"/>
          <w:lang w:val="en-US" w:bidi="en-US"/>
        </w:rPr>
        <w:t>I</w:t>
      </w:r>
      <w:r w:rsidRPr="00C71A2C">
        <w:rPr>
          <w:rStyle w:val="20"/>
          <w:rFonts w:eastAsiaTheme="minorHAnsi"/>
          <w:lang w:bidi="en-US"/>
        </w:rPr>
        <w:t>-</w:t>
      </w:r>
      <w:r>
        <w:rPr>
          <w:rStyle w:val="20"/>
          <w:rFonts w:eastAsiaTheme="minorHAnsi"/>
          <w:lang w:val="en-US" w:bidi="en-US"/>
        </w:rPr>
        <w:t>II</w:t>
      </w:r>
      <w:r w:rsidRPr="00C71A2C">
        <w:rPr>
          <w:rStyle w:val="20"/>
          <w:rFonts w:eastAsiaTheme="minorHAnsi"/>
          <w:lang w:bidi="en-US"/>
        </w:rPr>
        <w:t xml:space="preserve"> </w:t>
      </w:r>
      <w:r>
        <w:rPr>
          <w:rStyle w:val="20"/>
          <w:rFonts w:eastAsiaTheme="minorHAnsi"/>
        </w:rPr>
        <w:t>уровней аккредитации.</w:t>
      </w:r>
    </w:p>
    <w:p w:rsidR="00676A89" w:rsidRDefault="00676A89" w:rsidP="00676A89">
      <w:pPr>
        <w:widowControl w:val="0"/>
        <w:numPr>
          <w:ilvl w:val="2"/>
          <w:numId w:val="1"/>
        </w:numPr>
        <w:tabs>
          <w:tab w:val="left" w:pos="1215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 xml:space="preserve">Сектор по учебным заведениям </w:t>
      </w:r>
      <w:r>
        <w:rPr>
          <w:rStyle w:val="20"/>
          <w:rFonts w:eastAsiaTheme="minorHAnsi"/>
          <w:lang w:val="en-US" w:bidi="en-US"/>
        </w:rPr>
        <w:t>III</w:t>
      </w:r>
      <w:r w:rsidRPr="00C71A2C">
        <w:rPr>
          <w:rStyle w:val="20"/>
          <w:rFonts w:eastAsiaTheme="minorHAnsi"/>
          <w:lang w:bidi="en-US"/>
        </w:rPr>
        <w:t>-</w:t>
      </w:r>
      <w:r>
        <w:rPr>
          <w:rStyle w:val="20"/>
          <w:rFonts w:eastAsiaTheme="minorHAnsi"/>
          <w:lang w:val="en-US" w:bidi="en-US"/>
        </w:rPr>
        <w:t>IV</w:t>
      </w:r>
      <w:r w:rsidRPr="00C71A2C">
        <w:rPr>
          <w:rStyle w:val="20"/>
          <w:rFonts w:eastAsiaTheme="minorHAnsi"/>
          <w:lang w:bidi="en-US"/>
        </w:rPr>
        <w:t xml:space="preserve"> </w:t>
      </w:r>
      <w:r>
        <w:rPr>
          <w:rStyle w:val="20"/>
          <w:rFonts w:eastAsiaTheme="minorHAnsi"/>
        </w:rPr>
        <w:t>уровней аккредитации.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215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науки и технологий, лицензирования и аккредитации.</w:t>
      </w:r>
    </w:p>
    <w:p w:rsidR="00676A89" w:rsidRDefault="00676A89" w:rsidP="00676A89">
      <w:pPr>
        <w:ind w:left="420"/>
        <w:jc w:val="both"/>
      </w:pPr>
      <w:r>
        <w:rPr>
          <w:rStyle w:val="20"/>
          <w:rFonts w:eastAsiaTheme="minorHAnsi"/>
        </w:rPr>
        <w:t>6.3.Отдел аттестации научных и научно-педагогических работников.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Департамент общего и профессионально-технического образования.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4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дошкольного образования.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4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общего среднего образования.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4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специального образования.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4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профессионально технического образования.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Департамент информации.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999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информационно-аналитического обеспечения.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999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по связям с общественностью.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842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Департамент управления делами.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9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бухгалтерского учета и отчетности.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9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финансирования, прогнозирования и статистики.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9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кадровой работы.</w:t>
      </w:r>
    </w:p>
    <w:p w:rsidR="00676A89" w:rsidRDefault="00676A89" w:rsidP="00676A89">
      <w:pPr>
        <w:widowControl w:val="0"/>
        <w:numPr>
          <w:ilvl w:val="1"/>
          <w:numId w:val="1"/>
        </w:numPr>
        <w:tabs>
          <w:tab w:val="left" w:pos="1009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Отдел делопроизводства, контроля и хозяйственного обеспечения.</w:t>
      </w:r>
    </w:p>
    <w:p w:rsidR="00676A89" w:rsidRDefault="00676A89" w:rsidP="00676A89">
      <w:pPr>
        <w:widowControl w:val="0"/>
        <w:numPr>
          <w:ilvl w:val="0"/>
          <w:numId w:val="1"/>
        </w:numPr>
        <w:tabs>
          <w:tab w:val="left" w:pos="908"/>
        </w:tabs>
        <w:spacing w:after="0" w:line="322" w:lineRule="exact"/>
        <w:ind w:left="420"/>
        <w:jc w:val="both"/>
      </w:pPr>
      <w:r>
        <w:rPr>
          <w:rStyle w:val="20"/>
          <w:rFonts w:eastAsiaTheme="minorHAnsi"/>
        </w:rPr>
        <w:t>Департамент правового обеспечения деятельности министерства.</w:t>
      </w:r>
    </w:p>
    <w:p w:rsidR="00D7579D" w:rsidRDefault="00D7579D"/>
    <w:sectPr w:rsidR="00D7579D" w:rsidSect="00676A89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2D4F"/>
    <w:multiLevelType w:val="multilevel"/>
    <w:tmpl w:val="C5D6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24"/>
    <w:rsid w:val="00676A89"/>
    <w:rsid w:val="00BF7524"/>
    <w:rsid w:val="00D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6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6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6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6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7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2016-11-14T12:55:00Z</dcterms:created>
  <dcterms:modified xsi:type="dcterms:W3CDTF">2016-11-14T12:55:00Z</dcterms:modified>
</cp:coreProperties>
</file>