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8" w:rsidRPr="00EB374B" w:rsidRDefault="00997018" w:rsidP="00997018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8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997018" w:rsidRPr="00EB374B" w:rsidRDefault="00997018" w:rsidP="00997018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997018" w:rsidRDefault="00997018" w:rsidP="00997018">
      <w:pPr>
        <w:ind w:left="5245"/>
        <w:jc w:val="both"/>
        <w:textAlignment w:val="baseline"/>
        <w:rPr>
          <w:rStyle w:val="apple-converted-space"/>
          <w:sz w:val="28"/>
          <w:szCs w:val="28"/>
          <w:u w:val="single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BA4168" w:rsidRPr="00BA4168" w:rsidRDefault="00BA4168" w:rsidP="00BA4168">
      <w:pPr>
        <w:ind w:left="5245"/>
        <w:textAlignment w:val="baseline"/>
        <w:rPr>
          <w:rStyle w:val="apple-converted-space"/>
          <w:sz w:val="28"/>
          <w:szCs w:val="28"/>
        </w:rPr>
      </w:pPr>
      <w:r w:rsidRPr="00BA4168">
        <w:rPr>
          <w:rStyle w:val="apple-converted-space"/>
          <w:sz w:val="28"/>
          <w:szCs w:val="28"/>
        </w:rPr>
        <w:t xml:space="preserve">(с изменениями </w:t>
      </w:r>
      <w:r w:rsidRPr="00BA4168">
        <w:rPr>
          <w:sz w:val="28"/>
          <w:szCs w:val="28"/>
        </w:rPr>
        <w:t xml:space="preserve">приказа Министерства образования и науки Донецкой Народной Республики </w:t>
      </w:r>
      <w:r w:rsidRPr="00BA4168">
        <w:rPr>
          <w:rStyle w:val="apple-converted-space"/>
          <w:sz w:val="28"/>
          <w:szCs w:val="28"/>
        </w:rPr>
        <w:t>от 28.11.2016 № 1216)</w:t>
      </w: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BA4168" w:rsidRDefault="00BA416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sz w:val="28"/>
          <w:szCs w:val="28"/>
        </w:rPr>
        <w:t>Описание свидетельства</w:t>
      </w:r>
      <w:r w:rsidRPr="00EB374B">
        <w:rPr>
          <w:bCs w:val="0"/>
          <w:sz w:val="28"/>
          <w:szCs w:val="28"/>
        </w:rPr>
        <w:t xml:space="preserve"> о профессии рабочего, должности служащего</w:t>
      </w: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997018" w:rsidRPr="00EB374B" w:rsidRDefault="00997018" w:rsidP="00997018">
      <w:pPr>
        <w:numPr>
          <w:ilvl w:val="0"/>
          <w:numId w:val="1"/>
        </w:numPr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EB374B">
        <w:rPr>
          <w:sz w:val="28"/>
          <w:szCs w:val="28"/>
        </w:rPr>
        <w:t>Свидетельство</w:t>
      </w:r>
      <w:r w:rsidRPr="00EB374B">
        <w:rPr>
          <w:bCs/>
          <w:sz w:val="28"/>
          <w:szCs w:val="28"/>
        </w:rPr>
        <w:t xml:space="preserve"> о профессии рабочего, должности служащего</w:t>
      </w:r>
      <w:r w:rsidRPr="00EB374B">
        <w:rPr>
          <w:sz w:val="28"/>
          <w:szCs w:val="28"/>
        </w:rPr>
        <w:t xml:space="preserve"> (далее - свидетельство) состоит из титула свидетельства (далее - титул) и приложения к свидетельству (далее - приложение).</w:t>
      </w:r>
      <w:proofErr w:type="gramEnd"/>
      <w:r w:rsidRPr="00EB374B">
        <w:rPr>
          <w:sz w:val="28"/>
          <w:szCs w:val="28"/>
        </w:rPr>
        <w:t xml:space="preserve"> Допускается применение твердой обложки.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>
        <w:t>2</w:t>
      </w:r>
      <w:r w:rsidRPr="00043C86">
        <w:rPr>
          <w:sz w:val="28"/>
          <w:szCs w:val="28"/>
        </w:rPr>
        <w:t>. Бланк титула и бланк приложения (далее вместе —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   Донецкой Народной Республики порядке. Бланки имеют серию и номер.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2.1. Для образовательных организаций среднего профессионального образования всех форм собственности и подчинения: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Серия бланка содержит 7 символов.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Первый, второй и третий символы —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№ 1 к настоящему Описанию).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Четвертый символ – знак «</w:t>
      </w:r>
      <w:proofErr w:type="gramStart"/>
      <w:r w:rsidRPr="00043C86">
        <w:rPr>
          <w:sz w:val="28"/>
          <w:szCs w:val="28"/>
        </w:rPr>
        <w:t>-»</w:t>
      </w:r>
      <w:proofErr w:type="gramEnd"/>
      <w:r w:rsidRPr="00043C86">
        <w:rPr>
          <w:sz w:val="28"/>
          <w:szCs w:val="28"/>
        </w:rPr>
        <w:t>, разделяющий, цифровой код образовательной организации и вид присвоенной квалификации.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 xml:space="preserve">Пятый, шестой и седьмой символы – шифровой код, обозначающий вид присвоенной квалификации: КРС </w:t>
      </w:r>
      <w:proofErr w:type="gramStart"/>
      <w:r w:rsidRPr="00043C86">
        <w:rPr>
          <w:sz w:val="28"/>
          <w:szCs w:val="28"/>
        </w:rPr>
        <w:t>–к</w:t>
      </w:r>
      <w:proofErr w:type="gramEnd"/>
      <w:r w:rsidRPr="00043C86">
        <w:rPr>
          <w:sz w:val="28"/>
          <w:szCs w:val="28"/>
        </w:rPr>
        <w:t>валифицированный рабочий (служащий).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Номер бланка представляет собой 7-значный порядковый номер, присвоенный бланку предприятием — изготовителем (начиная с 0000001)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043C86" w:rsidRPr="00EB374B" w:rsidRDefault="00043C86" w:rsidP="00043C86">
      <w:pPr>
        <w:jc w:val="right"/>
        <w:textAlignment w:val="baseline"/>
      </w:pPr>
      <w:r w:rsidRPr="00EB374B">
        <w:lastRenderedPageBreak/>
        <w:t>Продолжение приложения № 8</w:t>
      </w:r>
    </w:p>
    <w:p w:rsid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Нумерация бланков приложения осуществляется независимо от нумерации бланков свидетельства.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2.2. Для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 — организация), получивших Лицензию (Разрешение) на осуществление образовательной деятельности Министерства образования и науки Донецкой Народной Республики по программам профессионального обучения: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Серия бланка содержит 10 символов.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Первый, второй и третий символы – серия бланка Лицензии на осуществление образовательной деятельности по программам профессионального обучения.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С четвертого по десятый символ – номер бланка Лицензии на осуществление образовательной деятельности по программам профессионального обучения.</w:t>
      </w:r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proofErr w:type="gramStart"/>
      <w:r w:rsidRPr="00043C86">
        <w:rPr>
          <w:sz w:val="28"/>
          <w:szCs w:val="28"/>
        </w:rPr>
        <w:t>Организации, работающие на основании Разрешений на осуществление образовательной деятельности Министерства образования и науки, в серии бланка проставляют номер временно действующего Разрешения на осуществление образовательной деятельности Министерства образования и науки Донецкой Народной Республики.</w:t>
      </w:r>
      <w:proofErr w:type="gramEnd"/>
    </w:p>
    <w:p w:rsidR="00043C86" w:rsidRP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Номер бланка представляет собой 7-значный порядковый номер, присвоенный бланку предприятием — изготовителем (начиная с 0000001) или самостоятельно вписываемый организацией номер, согласно книге регистрации бланков строгой отчетности.</w:t>
      </w:r>
    </w:p>
    <w:p w:rsidR="00043C86" w:rsidRDefault="00043C86" w:rsidP="00043C86">
      <w:pPr>
        <w:ind w:firstLine="360"/>
        <w:jc w:val="both"/>
        <w:textAlignment w:val="baseline"/>
        <w:rPr>
          <w:sz w:val="28"/>
          <w:szCs w:val="28"/>
        </w:rPr>
      </w:pPr>
      <w:r w:rsidRPr="00043C86">
        <w:rPr>
          <w:sz w:val="28"/>
          <w:szCs w:val="28"/>
        </w:rPr>
        <w:t>Нумерация бланков приложения осуществляется независимо от нумерации бланков свидетельства.</w:t>
      </w:r>
    </w:p>
    <w:p w:rsidR="00B27361" w:rsidRPr="00B27361" w:rsidRDefault="00B27361" w:rsidP="00043C86">
      <w:pPr>
        <w:ind w:firstLine="360"/>
        <w:jc w:val="both"/>
        <w:textAlignment w:val="baseline"/>
        <w:rPr>
          <w:i/>
          <w:sz w:val="28"/>
          <w:szCs w:val="28"/>
        </w:rPr>
      </w:pPr>
      <w:r w:rsidRPr="00B27361">
        <w:rPr>
          <w:i/>
          <w:sz w:val="28"/>
          <w:szCs w:val="28"/>
        </w:rPr>
        <w:t>(</w:t>
      </w:r>
      <w:r w:rsidRPr="00B27361">
        <w:rPr>
          <w:i/>
          <w:sz w:val="28"/>
          <w:szCs w:val="28"/>
        </w:rPr>
        <w:t>п. 2 в редак</w:t>
      </w:r>
      <w:bookmarkStart w:id="0" w:name="_GoBack"/>
      <w:bookmarkEnd w:id="0"/>
      <w:r w:rsidRPr="00B27361">
        <w:rPr>
          <w:i/>
          <w:sz w:val="28"/>
          <w:szCs w:val="28"/>
        </w:rPr>
        <w:t>ции</w:t>
      </w:r>
      <w:r w:rsidRPr="00B27361">
        <w:rPr>
          <w:i/>
          <w:sz w:val="28"/>
          <w:szCs w:val="28"/>
        </w:rPr>
        <w:t xml:space="preserve"> </w:t>
      </w:r>
      <w:hyperlink r:id="rId6" w:tgtFrame="_blank" w:history="1">
        <w:r w:rsidRPr="00B27361">
          <w:rPr>
            <w:rStyle w:val="a5"/>
            <w:i/>
            <w:sz w:val="28"/>
            <w:szCs w:val="28"/>
          </w:rPr>
          <w:t>Приказа Министерства образования и науки Донецкой Народной Республики от 28.11.2016 № 1216</w:t>
        </w:r>
      </w:hyperlink>
      <w:r w:rsidRPr="00B27361">
        <w:rPr>
          <w:i/>
          <w:sz w:val="28"/>
          <w:szCs w:val="28"/>
        </w:rPr>
        <w:t>)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3. </w:t>
      </w:r>
      <w:r w:rsidRPr="00EB374B">
        <w:rPr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2616C0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виде, бланк приложения -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2616C0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4. </w:t>
      </w:r>
      <w:r w:rsidRPr="00EB374B">
        <w:rPr>
          <w:sz w:val="28"/>
          <w:szCs w:val="28"/>
        </w:rPr>
        <w:t>Бланки изготавливаются на бумаге массой 100 г/м</w:t>
      </w:r>
      <w:proofErr w:type="gramStart"/>
      <w:r w:rsidRPr="002616C0">
        <w:rPr>
          <w:sz w:val="28"/>
          <w:szCs w:val="28"/>
          <w:vertAlign w:val="superscript"/>
        </w:rPr>
        <w:t>2</w:t>
      </w:r>
      <w:proofErr w:type="gramEnd"/>
      <w:r w:rsidRPr="00EB374B">
        <w:rPr>
          <w:sz w:val="28"/>
          <w:szCs w:val="28"/>
        </w:rPr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B374B">
        <w:rPr>
          <w:sz w:val="28"/>
          <w:szCs w:val="28"/>
        </w:rPr>
        <w:t>просветно</w:t>
      </w:r>
      <w:proofErr w:type="spellEnd"/>
      <w:r w:rsidRPr="00EB374B">
        <w:rPr>
          <w:sz w:val="28"/>
          <w:szCs w:val="28"/>
        </w:rPr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B374B">
        <w:rPr>
          <w:sz w:val="28"/>
          <w:szCs w:val="28"/>
        </w:rPr>
        <w:t>ультра-фиолетового</w:t>
      </w:r>
      <w:proofErr w:type="gramEnd"/>
      <w:r w:rsidRPr="00EB374B">
        <w:rPr>
          <w:sz w:val="28"/>
          <w:szCs w:val="28"/>
        </w:rPr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EB374B">
        <w:rPr>
          <w:sz w:val="28"/>
          <w:szCs w:val="28"/>
        </w:rPr>
        <w:t xml:space="preserve">Фон лицевой и </w:t>
      </w:r>
      <w:proofErr w:type="gramStart"/>
      <w:r w:rsidRPr="00EB374B">
        <w:rPr>
          <w:sz w:val="28"/>
          <w:szCs w:val="28"/>
        </w:rPr>
        <w:t>оборотной</w:t>
      </w:r>
      <w:proofErr w:type="gramEnd"/>
      <w:r w:rsidRPr="00EB374B">
        <w:rPr>
          <w:sz w:val="28"/>
          <w:szCs w:val="28"/>
        </w:rPr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</w:t>
      </w:r>
      <w:r w:rsidRPr="00EB374B">
        <w:rPr>
          <w:sz w:val="28"/>
          <w:szCs w:val="28"/>
        </w:rPr>
        <w:lastRenderedPageBreak/>
        <w:t>химической защитой, препятствующей несанкционированному внесению изменений.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r w:rsidRPr="00EB374B">
        <w:rPr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EB374B">
        <w:rPr>
          <w:sz w:val="28"/>
          <w:szCs w:val="28"/>
        </w:rPr>
        <w:t>спецрастров</w:t>
      </w:r>
      <w:proofErr w:type="spellEnd"/>
      <w:r w:rsidRPr="00EB374B">
        <w:rPr>
          <w:sz w:val="28"/>
          <w:szCs w:val="28"/>
        </w:rPr>
        <w:t>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ирисовый раскат расположен вдоль длинной стороны бланка титула. Цвет ирисового раската переходит от зеленого к розовому и </w:t>
      </w:r>
      <w:proofErr w:type="gramStart"/>
      <w:r w:rsidRPr="00EB374B">
        <w:rPr>
          <w:sz w:val="28"/>
          <w:szCs w:val="28"/>
        </w:rPr>
        <w:t>от</w:t>
      </w:r>
      <w:proofErr w:type="gramEnd"/>
      <w:r w:rsidRPr="00EB374B">
        <w:rPr>
          <w:sz w:val="28"/>
          <w:szCs w:val="28"/>
        </w:rPr>
        <w:t xml:space="preserve"> розового к зеленому.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8.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размещаются надписи и изображения в соответствии с образцом свидетельства.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EB374B">
        <w:rPr>
          <w:sz w:val="28"/>
          <w:szCs w:val="28"/>
        </w:rPr>
        <w:t>В правой части лицевой стороны бланка титула размещаются с выравниванием по ширине: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jc w:val="right"/>
        <w:textAlignment w:val="baseline"/>
      </w:pPr>
      <w:r w:rsidRPr="00EB374B"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B374B">
          <w:rPr>
            <w:sz w:val="28"/>
            <w:szCs w:val="28"/>
          </w:rPr>
          <w:t>41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</w:t>
      </w:r>
      <w:r w:rsidRPr="00EB374B">
        <w:rPr>
          <w:bCs/>
          <w:sz w:val="28"/>
          <w:szCs w:val="28"/>
        </w:rPr>
        <w:t>профессии рабочего, должности служащего</w:t>
      </w:r>
      <w:r w:rsidRPr="00EB374B">
        <w:rPr>
          <w:sz w:val="28"/>
          <w:szCs w:val="28"/>
        </w:rPr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16п.</w:t>
      </w:r>
    </w:p>
    <w:p w:rsidR="00997018" w:rsidRPr="00B10765" w:rsidRDefault="00997018" w:rsidP="00997018">
      <w:pPr>
        <w:ind w:firstLine="360"/>
        <w:jc w:val="both"/>
        <w:textAlignment w:val="baseline"/>
        <w:rPr>
          <w:rStyle w:val="num"/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10. </w:t>
      </w:r>
      <w:r w:rsidRPr="00EB374B">
        <w:rPr>
          <w:sz w:val="28"/>
          <w:szCs w:val="28"/>
        </w:rPr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11. </w:t>
      </w:r>
      <w:r w:rsidRPr="00EB374B">
        <w:rPr>
          <w:sz w:val="28"/>
          <w:szCs w:val="28"/>
        </w:rPr>
        <w:t>В левой части оборотной стороны бланка титула размещаются выполненные с выравниванием по центру: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с использованием бронзовой краски,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</w:t>
      </w:r>
      <w:r w:rsidRPr="00EB374B">
        <w:rPr>
          <w:bCs/>
          <w:sz w:val="28"/>
          <w:szCs w:val="28"/>
        </w:rPr>
        <w:t>профессии рабочего, должности служащего</w:t>
      </w:r>
      <w:r w:rsidRPr="00EB374B">
        <w:rPr>
          <w:sz w:val="28"/>
          <w:szCs w:val="28"/>
        </w:rPr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lastRenderedPageBreak/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20п;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"ДОКУМЕНТ О ПРОФЕССИОНАЛЬНОМ ОБУЧЕНИИ И О КВАЛИФИКАЦИИ",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курсивом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 "Регистрационный номер";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"Дата выдачи".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12. </w:t>
      </w:r>
      <w:r w:rsidRPr="00EB374B">
        <w:rPr>
          <w:sz w:val="28"/>
          <w:szCs w:val="28"/>
        </w:rPr>
        <w:t>В правой части оборотной стороны бланка титула размещаются:</w:t>
      </w:r>
    </w:p>
    <w:p w:rsidR="003C60FC" w:rsidRDefault="003C60FC" w:rsidP="00997018">
      <w:pPr>
        <w:jc w:val="right"/>
        <w:textAlignment w:val="baseline"/>
      </w:pPr>
    </w:p>
    <w:p w:rsidR="003C60FC" w:rsidRDefault="003C60FC" w:rsidP="00997018">
      <w:pPr>
        <w:jc w:val="right"/>
        <w:textAlignment w:val="baseline"/>
      </w:pPr>
    </w:p>
    <w:p w:rsidR="00997018" w:rsidRPr="00EB374B" w:rsidRDefault="00997018" w:rsidP="00997018">
      <w:pPr>
        <w:jc w:val="right"/>
        <w:textAlignment w:val="baseline"/>
      </w:pPr>
      <w:r w:rsidRPr="00EB374B"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по центру,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"Настоящее свидетельство подтверждает, что";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"освои</w:t>
      </w:r>
      <w:proofErr w:type="gramStart"/>
      <w:r w:rsidRPr="00EB374B">
        <w:rPr>
          <w:sz w:val="28"/>
          <w:szCs w:val="28"/>
        </w:rPr>
        <w:t>л(</w:t>
      </w:r>
      <w:proofErr w:type="gramEnd"/>
      <w:r w:rsidRPr="00EB374B">
        <w:rPr>
          <w:sz w:val="28"/>
          <w:szCs w:val="28"/>
        </w:rPr>
        <w:t>а) образовательную программу профессионального обучения и успешно прошел(шла) государственную итоговую аттестацию;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"Решение Государственной экзаменационной комиссии";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"Председатель Государственной экзаменационной комиссии";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"Руководитель образовательной организации";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13.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ирисовый раскат расположен вдоль короткой стороны бланка. 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 каждой странице бланка приложения цвет ирисового раската переходит от зеленого к розовому и </w:t>
      </w:r>
      <w:proofErr w:type="gramStart"/>
      <w:r w:rsidRPr="00EB374B">
        <w:rPr>
          <w:sz w:val="28"/>
          <w:szCs w:val="28"/>
        </w:rPr>
        <w:t>от</w:t>
      </w:r>
      <w:proofErr w:type="gramEnd"/>
      <w:r w:rsidRPr="00EB374B">
        <w:rPr>
          <w:sz w:val="28"/>
          <w:szCs w:val="28"/>
        </w:rPr>
        <w:t xml:space="preserve"> розового к зеленому.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14.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размещаются надписи и изображения в соответствии с образцом приложения.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15. </w:t>
      </w:r>
      <w:r w:rsidRPr="00EB374B">
        <w:rPr>
          <w:sz w:val="28"/>
          <w:szCs w:val="28"/>
        </w:rPr>
        <w:t xml:space="preserve">На первой странице бланка приложения размещаются две колонки - левая шириной </w:t>
      </w:r>
      <w:smartTag w:uri="urn:schemas-microsoft-com:office:smarttags" w:element="metricconverter">
        <w:smartTagPr>
          <w:attr w:name="ProductID" w:val="42,5 мм"/>
        </w:smartTagPr>
        <w:r w:rsidRPr="00EB374B">
          <w:rPr>
            <w:sz w:val="28"/>
            <w:szCs w:val="28"/>
          </w:rPr>
          <w:t>42,5 мм</w:t>
        </w:r>
      </w:smartTag>
      <w:r w:rsidRPr="00EB374B">
        <w:rPr>
          <w:sz w:val="28"/>
          <w:szCs w:val="28"/>
        </w:rPr>
        <w:t xml:space="preserve"> и правая шириной </w:t>
      </w:r>
      <w:smartTag w:uri="urn:schemas-microsoft-com:office:smarttags" w:element="metricconverter">
        <w:smartTagPr>
          <w:attr w:name="ProductID" w:val="106 мм"/>
        </w:smartTagPr>
        <w:r w:rsidRPr="00EB374B">
          <w:rPr>
            <w:sz w:val="28"/>
            <w:szCs w:val="28"/>
          </w:rPr>
          <w:t>106 мм</w:t>
        </w:r>
      </w:smartTag>
      <w:r w:rsidRPr="00EB374B">
        <w:rPr>
          <w:sz w:val="28"/>
          <w:szCs w:val="28"/>
        </w:rPr>
        <w:t>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16. </w:t>
      </w:r>
      <w:r w:rsidRPr="00EB374B">
        <w:rPr>
          <w:sz w:val="28"/>
          <w:szCs w:val="28"/>
        </w:rPr>
        <w:t>В левой колонке первой страницы бланка приложения с выравниванием по ширине размещаются: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lastRenderedPageBreak/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"ПРИЛОЖЕНИЕ К СВИДЕТЕЛЬСТВУ",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8п: "Регистрационный номер"; "Дата выдачи".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17. </w:t>
      </w:r>
      <w:r w:rsidRPr="00EB374B">
        <w:rPr>
          <w:sz w:val="28"/>
          <w:szCs w:val="28"/>
        </w:rPr>
        <w:t>В правой колонке первой страницы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надпись "Страница" с выравниванием вправо;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правому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 размещаются с выравниванием влево;</w:t>
      </w:r>
    </w:p>
    <w:p w:rsidR="003C60FC" w:rsidRDefault="003C60FC" w:rsidP="00997018">
      <w:pPr>
        <w:jc w:val="right"/>
        <w:textAlignment w:val="baseline"/>
      </w:pPr>
    </w:p>
    <w:p w:rsidR="00997018" w:rsidRPr="00352CCC" w:rsidRDefault="00997018" w:rsidP="00997018">
      <w:pPr>
        <w:jc w:val="right"/>
        <w:textAlignment w:val="baseline"/>
      </w:pPr>
      <w:r w:rsidRPr="00EB374B"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 "Страница" и "БЕЗ СВИДЕТЕЛЬСТВА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18. </w:t>
      </w:r>
      <w:r w:rsidRPr="00EB374B">
        <w:rPr>
          <w:sz w:val="28"/>
          <w:szCs w:val="28"/>
        </w:rPr>
        <w:t>На второй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надписи размещаются с выравниванием влево;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"Страница" выполняется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19. </w:t>
      </w:r>
      <w:r w:rsidRPr="00EB374B">
        <w:rPr>
          <w:sz w:val="28"/>
          <w:szCs w:val="28"/>
        </w:rPr>
        <w:t>На третьей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размещается выполненное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 продолжение таблицы, указанной в пункте 18 настоящего Описания;</w:t>
      </w:r>
    </w:p>
    <w:p w:rsidR="00997018" w:rsidRPr="00352CCC" w:rsidRDefault="00997018" w:rsidP="00997018">
      <w:pPr>
        <w:ind w:firstLine="720"/>
        <w:jc w:val="both"/>
        <w:textAlignment w:val="baseline"/>
        <w:rPr>
          <w:rStyle w:val="num"/>
          <w:sz w:val="28"/>
          <w:szCs w:val="28"/>
        </w:rPr>
      </w:pPr>
      <w:r w:rsidRPr="00EB374B">
        <w:rPr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20. </w:t>
      </w:r>
      <w:r w:rsidRPr="00EB374B">
        <w:rPr>
          <w:sz w:val="28"/>
          <w:szCs w:val="28"/>
        </w:rPr>
        <w:t>На четвертой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левому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ширине граф;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lastRenderedPageBreak/>
        <w:t xml:space="preserve">надписи "Настоящее приложение содержит страниц", "Страница" и "БЕЗ СВИДЕТЕЛЬСТВА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надписи, в том числе в графах таблицы,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jc w:val="right"/>
        <w:textAlignment w:val="baseline"/>
      </w:pPr>
      <w:r w:rsidRPr="00EB374B">
        <w:t xml:space="preserve">Продолжение  приложения № </w:t>
      </w:r>
      <w:r>
        <w:t>8</w:t>
      </w: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>Приложение  к описанию свидетельства о среднем профессиональном образовании и приложения к нему</w:t>
      </w:r>
      <w:r w:rsidRPr="00EB374B">
        <w:rPr>
          <w:sz w:val="28"/>
          <w:szCs w:val="28"/>
        </w:rPr>
        <w:tab/>
      </w:r>
    </w:p>
    <w:p w:rsidR="00997018" w:rsidRPr="00EB374B" w:rsidRDefault="00997018" w:rsidP="00997018">
      <w:pPr>
        <w:ind w:left="5220"/>
        <w:rPr>
          <w:b/>
          <w:sz w:val="16"/>
          <w:szCs w:val="16"/>
        </w:rPr>
      </w:pPr>
    </w:p>
    <w:p w:rsidR="00997018" w:rsidRPr="00EB374B" w:rsidRDefault="00997018" w:rsidP="00997018">
      <w:pPr>
        <w:ind w:left="5220"/>
        <w:rPr>
          <w:b/>
          <w:sz w:val="16"/>
          <w:szCs w:val="16"/>
        </w:rPr>
      </w:pPr>
    </w:p>
    <w:p w:rsidR="00997018" w:rsidRPr="00EB374B" w:rsidRDefault="00997018" w:rsidP="00997018">
      <w:pPr>
        <w:ind w:firstLine="720"/>
        <w:jc w:val="center"/>
        <w:rPr>
          <w:b/>
          <w:sz w:val="28"/>
          <w:szCs w:val="28"/>
        </w:rPr>
      </w:pPr>
      <w:r w:rsidRPr="00EB374B">
        <w:rPr>
          <w:sz w:val="28"/>
          <w:szCs w:val="28"/>
        </w:rPr>
        <w:t xml:space="preserve">Цифровые и буквенно-цифровые коды </w:t>
      </w:r>
      <w:proofErr w:type="gramStart"/>
      <w:r w:rsidRPr="00EB374B">
        <w:rPr>
          <w:sz w:val="28"/>
          <w:szCs w:val="28"/>
        </w:rPr>
        <w:t>образовательных</w:t>
      </w:r>
      <w:proofErr w:type="gramEnd"/>
      <w:r w:rsidRPr="00EB374B">
        <w:rPr>
          <w:sz w:val="28"/>
          <w:szCs w:val="28"/>
        </w:rPr>
        <w:t xml:space="preserve"> организации среднего профессионального  образования</w:t>
      </w:r>
    </w:p>
    <w:p w:rsidR="00997018" w:rsidRPr="00EB374B" w:rsidRDefault="00997018" w:rsidP="00997018">
      <w:pPr>
        <w:rPr>
          <w:sz w:val="16"/>
          <w:szCs w:val="16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938"/>
        <w:gridCol w:w="1176"/>
      </w:tblGrid>
      <w:tr w:rsidR="00997018" w:rsidRPr="00EB374B" w:rsidTr="00BA4168">
        <w:trPr>
          <w:cantSplit/>
          <w:trHeight w:val="1918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№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B374B">
              <w:rPr>
                <w:bCs/>
                <w:sz w:val="28"/>
                <w:szCs w:val="28"/>
              </w:rPr>
              <w:t>п</w:t>
            </w:r>
            <w:proofErr w:type="gramEnd"/>
            <w:r w:rsidRPr="00EB37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lang w:val="uk-UA"/>
              </w:rPr>
            </w:pPr>
            <w:r w:rsidRPr="00EB374B">
              <w:rPr>
                <w:bCs/>
                <w:lang w:val="uk-UA"/>
              </w:rPr>
              <w:t xml:space="preserve">Код </w:t>
            </w:r>
            <w:r w:rsidRPr="00EB374B">
              <w:rPr>
                <w:bCs/>
              </w:rPr>
              <w:t>образовательной организации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индустриально-экономический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автотранспортный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промышленных технологий и экономики»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городского хозяйства»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пищевых технологий и торговли"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206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Горловкий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Дебальцевский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транспортной инфраструктуры Донецкого института железнодорожного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горный техникум им. Е.Т. Абакумова»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213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колледж технологий и дизайна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колле</w:t>
            </w:r>
            <w:proofErr w:type="gramStart"/>
            <w:r w:rsidRPr="00EB374B">
              <w:rPr>
                <w:sz w:val="28"/>
                <w:szCs w:val="28"/>
              </w:rPr>
              <w:t>дж стр</w:t>
            </w:r>
            <w:proofErr w:type="gramEnd"/>
            <w:r w:rsidRPr="00EB374B">
              <w:rPr>
                <w:sz w:val="28"/>
                <w:szCs w:val="28"/>
              </w:rPr>
              <w:t>оительства и архитектуры»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горно-экономический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«Донецкий 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музыкальное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Донецкое высшее училище олимпийского резерва им. </w:t>
            </w:r>
            <w:proofErr w:type="spellStart"/>
            <w:r w:rsidRPr="00EB374B">
              <w:rPr>
                <w:sz w:val="28"/>
                <w:szCs w:val="28"/>
              </w:rPr>
              <w:t>С.Бубки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художественное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училище культуры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финансово-экономический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экономики и менеджмента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Зуевский энергетический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233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педагогическое училище»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 </w:t>
            </w:r>
            <w:proofErr w:type="spellStart"/>
            <w:r w:rsidRPr="00EB374B">
              <w:rPr>
                <w:sz w:val="28"/>
                <w:szCs w:val="28"/>
              </w:rPr>
              <w:t>им.А.Ф.Зясядько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Харцизский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Шахтерский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Шахтерский кинотехникум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Шахтерское педагогическое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техникум </w:t>
            </w:r>
            <w:r w:rsidRPr="00EB374B">
              <w:rPr>
                <w:sz w:val="28"/>
                <w:szCs w:val="28"/>
              </w:rPr>
              <w:lastRenderedPageBreak/>
              <w:t>транспортного строительства»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247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Частное профессиональное образовательное учреждение «Донецкий экономико-правовой кооперативный техникум имени Н.П. </w:t>
            </w:r>
            <w:proofErr w:type="spellStart"/>
            <w:r w:rsidRPr="00EB374B">
              <w:rPr>
                <w:sz w:val="28"/>
                <w:szCs w:val="28"/>
              </w:rPr>
              <w:t>Баллина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Донецкой академии автомобильного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частного высшего учебного заведения «Донецкий институт туристического бизнеса»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приватного высшего учебного заведения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экономико-гуманитарный институт»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"Профессиональный лицей"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001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right="-30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 xml:space="preserve">Продолжение таблицы 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учреждение "Донецкий профессиональный металлургический лицей </w:t>
            </w:r>
            <w:proofErr w:type="spellStart"/>
            <w:r w:rsidRPr="00EB374B">
              <w:rPr>
                <w:sz w:val="28"/>
                <w:szCs w:val="28"/>
              </w:rPr>
              <w:t>им</w:t>
            </w:r>
            <w:proofErr w:type="gramStart"/>
            <w:r w:rsidRPr="00EB374B">
              <w:rPr>
                <w:sz w:val="28"/>
                <w:szCs w:val="28"/>
              </w:rPr>
              <w:t>.Г</w:t>
            </w:r>
            <w:proofErr w:type="gramEnd"/>
            <w:r w:rsidRPr="00EB374B">
              <w:rPr>
                <w:sz w:val="28"/>
                <w:szCs w:val="28"/>
              </w:rPr>
              <w:t>ероя</w:t>
            </w:r>
            <w:proofErr w:type="spellEnd"/>
            <w:r w:rsidRPr="00EB374B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EB374B">
              <w:rPr>
                <w:sz w:val="28"/>
                <w:szCs w:val="28"/>
              </w:rPr>
              <w:t>И.П.Ткаченко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строительное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"Донецкое высшее профессиональное училище строительных технологий"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лицей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строительства"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сферы и услуг"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"Донецкий центр профессионально-технического образования строительства и архитектуры"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026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автотранспорта"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040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ind w:left="46" w:right="-30"/>
              <w:jc w:val="right"/>
              <w:textAlignment w:val="baseline"/>
            </w:pPr>
            <w:r w:rsidRPr="00EB374B">
              <w:t>Продолжение  таблицы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горное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Зугресский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металлургическое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машиностроительное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Профессиональнальный</w:t>
            </w:r>
            <w:proofErr w:type="spellEnd"/>
            <w:r w:rsidRPr="00EB374B">
              <w:rPr>
                <w:sz w:val="28"/>
                <w:szCs w:val="28"/>
              </w:rPr>
              <w:t xml:space="preserve"> машиностроительный лицей г. Комсомольска"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</w:t>
            </w:r>
            <w:r w:rsidRPr="00EB374B">
              <w:rPr>
                <w:sz w:val="28"/>
                <w:szCs w:val="28"/>
              </w:rPr>
              <w:lastRenderedPageBreak/>
              <w:t>железнодорожного 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069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Харцызский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машиностроительный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электротехнический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087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горный лицей"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торгово-кулинарный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Новоазовский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горное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</w:t>
            </w: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им. </w:t>
            </w:r>
            <w:proofErr w:type="spellStart"/>
            <w:r w:rsidRPr="00EB374B">
              <w:rPr>
                <w:sz w:val="28"/>
                <w:szCs w:val="28"/>
              </w:rPr>
              <w:t>О.Г.Стаханова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учебное заведение "Донецкое межрегиональное высшее профессиональное училище автосервиса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"Донецкий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118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связи"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торговли и ресторанного сервиса"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коммунального хозяйства и быта"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коммунального хозяйства"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126</w:t>
            </w:r>
          </w:p>
        </w:tc>
      </w:tr>
      <w:tr w:rsidR="00997018" w:rsidRPr="00EB374B" w:rsidTr="00BA4168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пищевой и перерабатывающей промышленности"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региональный центр профессионально-технического образования сферы услуг и дизайна"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131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аграрный лицей имени</w:t>
            </w:r>
            <w:proofErr w:type="gramStart"/>
            <w:r w:rsidRPr="00EB374B">
              <w:rPr>
                <w:sz w:val="28"/>
                <w:szCs w:val="28"/>
              </w:rPr>
              <w:t xml:space="preserve"> Д</w:t>
            </w:r>
            <w:proofErr w:type="gramEnd"/>
            <w:r w:rsidRPr="00EB374B">
              <w:rPr>
                <w:sz w:val="28"/>
                <w:szCs w:val="28"/>
              </w:rPr>
              <w:t xml:space="preserve">важды Героя Социалистического труда </w:t>
            </w:r>
            <w:proofErr w:type="spellStart"/>
            <w:r w:rsidRPr="00EB374B">
              <w:rPr>
                <w:sz w:val="28"/>
                <w:szCs w:val="28"/>
              </w:rPr>
              <w:t>П.Н.Ангелиной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132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150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Дебальцевское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155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№28"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т06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т07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"Западный учебный центр № 97"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т03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учебный центр №124"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т04</w:t>
            </w:r>
          </w:p>
        </w:tc>
      </w:tr>
      <w:tr w:rsidR="00997018" w:rsidRPr="00EB374B" w:rsidTr="00BA4168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№127»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т05</w:t>
            </w:r>
          </w:p>
        </w:tc>
      </w:tr>
      <w:tr w:rsidR="00997018" w:rsidRPr="00EB374B" w:rsidTr="00BA4168">
        <w:trPr>
          <w:trHeight w:val="2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BA4168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і02</w:t>
            </w:r>
          </w:p>
          <w:p w:rsidR="00997018" w:rsidRPr="00EB374B" w:rsidRDefault="00997018" w:rsidP="00BA41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C98" w:rsidRPr="00EB374B" w:rsidRDefault="00954C98" w:rsidP="00997018">
      <w:pPr>
        <w:rPr>
          <w:sz w:val="28"/>
          <w:szCs w:val="28"/>
        </w:rPr>
      </w:pPr>
    </w:p>
    <w:p w:rsidR="00954C98" w:rsidRPr="00EB374B" w:rsidRDefault="00954C98" w:rsidP="00954C98">
      <w:pPr>
        <w:ind w:left="5220"/>
        <w:rPr>
          <w:sz w:val="28"/>
          <w:szCs w:val="28"/>
        </w:rPr>
      </w:pPr>
    </w:p>
    <w:p w:rsidR="009519C9" w:rsidRDefault="009519C9"/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CD9"/>
    <w:multiLevelType w:val="hybridMultilevel"/>
    <w:tmpl w:val="201EA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69B"/>
    <w:multiLevelType w:val="hybridMultilevel"/>
    <w:tmpl w:val="8E9A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F"/>
    <w:rsid w:val="00043C86"/>
    <w:rsid w:val="003C60FC"/>
    <w:rsid w:val="00845544"/>
    <w:rsid w:val="009519C9"/>
    <w:rsid w:val="00954C98"/>
    <w:rsid w:val="00997018"/>
    <w:rsid w:val="00B27361"/>
    <w:rsid w:val="00BA4168"/>
    <w:rsid w:val="00C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4C98"/>
  </w:style>
  <w:style w:type="character" w:customStyle="1" w:styleId="num">
    <w:name w:val="num"/>
    <w:basedOn w:val="a0"/>
    <w:rsid w:val="00954C98"/>
  </w:style>
  <w:style w:type="paragraph" w:styleId="a3">
    <w:name w:val="List Paragraph"/>
    <w:basedOn w:val="a"/>
    <w:uiPriority w:val="34"/>
    <w:qFormat/>
    <w:rsid w:val="0095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43C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2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4C98"/>
  </w:style>
  <w:style w:type="character" w:customStyle="1" w:styleId="num">
    <w:name w:val="num"/>
    <w:basedOn w:val="a0"/>
    <w:rsid w:val="00954C98"/>
  </w:style>
  <w:style w:type="paragraph" w:styleId="a3">
    <w:name w:val="List Paragraph"/>
    <w:basedOn w:val="a"/>
    <w:uiPriority w:val="34"/>
    <w:qFormat/>
    <w:rsid w:val="0095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43C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2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18-1216-201611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dcterms:created xsi:type="dcterms:W3CDTF">2016-12-21T13:49:00Z</dcterms:created>
  <dcterms:modified xsi:type="dcterms:W3CDTF">2016-12-21T13:49:00Z</dcterms:modified>
</cp:coreProperties>
</file>