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13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E26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C51BB2" w:rsidRPr="008A512A" w:rsidRDefault="00C51BB2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C51BB2" w:rsidRPr="008A512A" w:rsidRDefault="00C51BB2" w:rsidP="0072638E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39BC" w:rsidRPr="005539BC" w:rsidRDefault="000A5EB7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A5EB7" w:rsidRPr="00C17FDB" w:rsidRDefault="000A5EB7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7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СПРАВОЧНИК</w:t>
      </w:r>
    </w:p>
    <w:p w:rsidR="00B65DDA" w:rsidRDefault="00F1179E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</w:t>
      </w:r>
      <w:r w:rsidR="00B65D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одов видов операций (сделок), информация о которых </w:t>
      </w:r>
    </w:p>
    <w:p w:rsidR="00B65DDA" w:rsidRDefault="00B65DDA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пред</w:t>
      </w:r>
      <w:r w:rsidR="00224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ставляется в  Уполномоченный орган </w:t>
      </w:r>
    </w:p>
    <w:p w:rsidR="00B65DDA" w:rsidRDefault="00B65DDA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(обязательный контроль)</w:t>
      </w:r>
    </w:p>
    <w:p w:rsidR="00B65DDA" w:rsidRDefault="00B65DDA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B51587" w:rsidRPr="007A5694" w:rsidTr="007F2799">
        <w:trPr>
          <w:trHeight w:val="20"/>
          <w:tblCellSpacing w:w="5" w:type="nil"/>
        </w:trPr>
        <w:tc>
          <w:tcPr>
            <w:tcW w:w="784" w:type="dxa"/>
            <w:shd w:val="clear" w:color="auto" w:fill="FFFFFF" w:themeFill="background1"/>
            <w:vAlign w:val="center"/>
          </w:tcPr>
          <w:p w:rsidR="00B51587" w:rsidRPr="007A5694" w:rsidRDefault="00B51587" w:rsidP="007F2799">
            <w:pPr>
              <w:pStyle w:val="ConsPlusCell"/>
              <w:jc w:val="center"/>
              <w:rPr>
                <w:b/>
                <w:lang w:val="en-US"/>
              </w:rPr>
            </w:pPr>
            <w:r w:rsidRPr="007A5694">
              <w:rPr>
                <w:b/>
              </w:rPr>
              <w:t>Код</w:t>
            </w:r>
          </w:p>
          <w:p w:rsidR="00B51587" w:rsidRPr="007A5694" w:rsidRDefault="00B51587" w:rsidP="007F2799">
            <w:pPr>
              <w:pStyle w:val="ConsPlusCell"/>
              <w:jc w:val="center"/>
              <w:rPr>
                <w:b/>
                <w:lang w:val="en-US"/>
              </w:rPr>
            </w:pPr>
            <w:r w:rsidRPr="007A5694">
              <w:rPr>
                <w:b/>
              </w:rPr>
              <w:t>группы</w:t>
            </w:r>
          </w:p>
          <w:p w:rsidR="00B51587" w:rsidRPr="007A5694" w:rsidRDefault="00B51587" w:rsidP="007F2799">
            <w:pPr>
              <w:pStyle w:val="ConsPlusCell"/>
              <w:jc w:val="center"/>
            </w:pPr>
            <w:r w:rsidRPr="007A5694">
              <w:rPr>
                <w:b/>
              </w:rPr>
              <w:t>операций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1587" w:rsidRPr="007A5694" w:rsidRDefault="00B51587" w:rsidP="007F2799">
            <w:pPr>
              <w:pStyle w:val="ConsPlusCell"/>
              <w:jc w:val="center"/>
              <w:rPr>
                <w:b/>
                <w:lang w:val="en-US"/>
              </w:rPr>
            </w:pPr>
            <w:r w:rsidRPr="007A5694">
              <w:rPr>
                <w:b/>
              </w:rPr>
              <w:t>Код вида</w:t>
            </w:r>
          </w:p>
          <w:p w:rsidR="00B51587" w:rsidRPr="007A5694" w:rsidRDefault="00A23F18" w:rsidP="007F2799">
            <w:pPr>
              <w:pStyle w:val="ConsPlusCell"/>
              <w:jc w:val="center"/>
            </w:pPr>
            <w:r w:rsidRPr="007A5694">
              <w:rPr>
                <w:b/>
              </w:rPr>
              <w:t>о</w:t>
            </w:r>
            <w:r w:rsidR="00B51587" w:rsidRPr="007A5694">
              <w:rPr>
                <w:b/>
              </w:rPr>
              <w:t>перации</w:t>
            </w:r>
          </w:p>
        </w:tc>
        <w:tc>
          <w:tcPr>
            <w:tcW w:w="8155" w:type="dxa"/>
            <w:shd w:val="clear" w:color="auto" w:fill="FFFFFF" w:themeFill="background1"/>
            <w:vAlign w:val="center"/>
          </w:tcPr>
          <w:p w:rsidR="00B51587" w:rsidRPr="007A5694" w:rsidRDefault="00B51587" w:rsidP="007F2799">
            <w:pPr>
              <w:pStyle w:val="ConsPlusCell"/>
              <w:jc w:val="center"/>
              <w:rPr>
                <w:b/>
              </w:rPr>
            </w:pPr>
            <w:r w:rsidRPr="007A5694">
              <w:rPr>
                <w:b/>
              </w:rPr>
              <w:t>Наименование вида операции</w:t>
            </w:r>
          </w:p>
        </w:tc>
      </w:tr>
      <w:tr w:rsidR="0072080E" w:rsidRPr="007A5694" w:rsidTr="007F2799">
        <w:trPr>
          <w:trHeight w:val="20"/>
          <w:tblCellSpacing w:w="5" w:type="nil"/>
        </w:trPr>
        <w:tc>
          <w:tcPr>
            <w:tcW w:w="784" w:type="dxa"/>
            <w:shd w:val="clear" w:color="auto" w:fill="FFFFFF" w:themeFill="background1"/>
            <w:vAlign w:val="center"/>
          </w:tcPr>
          <w:p w:rsidR="0072080E" w:rsidRPr="007A5694" w:rsidRDefault="0072080E" w:rsidP="007F2799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080E" w:rsidRPr="007A5694" w:rsidRDefault="0072080E" w:rsidP="007F2799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shd w:val="clear" w:color="auto" w:fill="FFFFFF" w:themeFill="background1"/>
            <w:vAlign w:val="center"/>
          </w:tcPr>
          <w:p w:rsidR="0072080E" w:rsidRPr="007A5694" w:rsidRDefault="0072080E" w:rsidP="007F2799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</w:tcPr>
          <w:p w:rsidR="00A23F18" w:rsidRPr="007A5694" w:rsidRDefault="00B51587" w:rsidP="00A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(сделки) на сумму, равную или превышающую</w:t>
            </w:r>
          </w:p>
          <w:p w:rsidR="00B51587" w:rsidRPr="007A5694" w:rsidRDefault="00B51587" w:rsidP="00A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300 000 рублей, либо на сумму в иностранной валюте, эквивалентную 300</w:t>
            </w:r>
            <w:r w:rsidR="00A23F18"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 или превышающую ее, подлежащие обязательному контролю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10 </w:t>
            </w: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Операции с денежными средствами в наличной форме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1001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Снятие со счета юридического лица денежных средств в наличной форме в случаях, когда это не обусловлено характером его хозяйственной деятельности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1002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Зачисление на счет юридического лица денежных средств в наличной форме в случаях, когда это не обусловлено характером его хозяйственной деятельности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1003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Покупка наличной иностранной валюты физическим лицом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1004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Продажа наличной иностранной валюты физическим лицом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1005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Приобретение физическим лицом ценных бумаг за наличный расчет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1007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Обмен банкнот одного достоинства на банкноты другого достоинства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1008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Внесение физическим лицом в уставный (складочный) капитал организации денежных средств в наличной форме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Операции с лицами, имеющими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территории)1</w:t>
            </w:r>
          </w:p>
        </w:tc>
      </w:tr>
    </w:tbl>
    <w:p w:rsidR="007F2799" w:rsidRPr="007A5694" w:rsidRDefault="007F2799">
      <w:pPr>
        <w:rPr>
          <w:sz w:val="24"/>
          <w:szCs w:val="24"/>
        </w:rPr>
      </w:pPr>
      <w:r w:rsidRPr="007A5694">
        <w:rPr>
          <w:sz w:val="24"/>
          <w:szCs w:val="24"/>
        </w:rPr>
        <w:br w:type="page"/>
      </w: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3001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proofErr w:type="gramStart"/>
            <w:r w:rsidRPr="007A5694">
              <w:t>Зачисление на счета физического или юридического лица денежных средств, в случае если хотя бы одной из сторон является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  <w:proofErr w:type="gramEnd"/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3002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proofErr w:type="gramStart"/>
            <w:r w:rsidRPr="007A5694">
              <w:t>Списание со счета физического или юридического лица денежных средств, в случае если хотя бы одной из сторон является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  <w:proofErr w:type="gramEnd"/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3011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proofErr w:type="gramStart"/>
            <w:r w:rsidRPr="007A5694">
              <w:t>Получение кредита (займа), в случае если хотя бы одной из сторон является физическое или юридическое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  <w:proofErr w:type="gramEnd"/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5E7495" w:rsidP="00A23F18">
            <w:pPr>
              <w:pStyle w:val="ConsPlusCell"/>
            </w:pPr>
            <w:r w:rsidRPr="007A5694">
              <w:t xml:space="preserve">          </w:t>
            </w: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3012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proofErr w:type="gramStart"/>
            <w:r w:rsidRPr="007A5694">
              <w:t>Предоставление кредита (займа), в случае если хотя бы одной из сторон является физическое или юридическое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  <w:proofErr w:type="gramEnd"/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3021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proofErr w:type="gramStart"/>
            <w:r w:rsidRPr="007A5694">
              <w:t>Операции с ценными бумагами, в случае если хотя бы одной из сторон является физическое или юридическое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  <w:proofErr w:type="gramEnd"/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40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Операции по банковским счетам (вкладам)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 xml:space="preserve">Размещение денежных средств во вклад (на депозит) с оформлением документов, удостоверяющих вклад (депозит) на предъявителя 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Открытие вклада (депозита) в пользу третьих лиц с размещением в него денежных средств в наличной форме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Перевод денежных средств за границу на счет (вклад), открытый на анонимного владельца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Поступление денежных средств из-за границы со счета (вклада), открытого на анонимного владельца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Зачисление денежных средств на счет (вклад) юридического лица или физического лица – предпринимателя, период деятельности которого не превышает трех месяцев со дня его регистрации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4015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Списание денежных средств со счета (вклада) юридического лица или физического лица –  предпринимателя, период деятельности которого не превышает трех месяцев со дня его регистрации</w:t>
            </w:r>
          </w:p>
        </w:tc>
      </w:tr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4006</w:t>
            </w:r>
          </w:p>
        </w:tc>
        <w:tc>
          <w:tcPr>
            <w:tcW w:w="8155" w:type="dxa"/>
          </w:tcPr>
          <w:p w:rsidR="00B51587" w:rsidRPr="007A5694" w:rsidRDefault="00B51587" w:rsidP="00D058E5">
            <w:pPr>
              <w:pStyle w:val="ConsPlusCell"/>
            </w:pPr>
            <w:r w:rsidRPr="007A5694">
              <w:t>Зачисление денежных средств на счет (вклад) юридического лица, физического лица</w:t>
            </w:r>
            <w:r w:rsidR="00D058E5" w:rsidRPr="007A5694">
              <w:t xml:space="preserve"> – </w:t>
            </w:r>
            <w:r w:rsidRPr="007A5694">
              <w:t>предпринимателя в случае, если операции по указанному счету (вкладу) не производились с момента его открытия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4016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Списание денежных средств со счета (вклада) юридического ли</w:t>
            </w:r>
            <w:r w:rsidR="00D058E5" w:rsidRPr="007A5694">
              <w:t xml:space="preserve">ца, физического лица – </w:t>
            </w:r>
            <w:r w:rsidRPr="007A5694">
              <w:t>предпринимателя в случае, если операции по указанному счету (вкладу) не производились с момента его открытия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4007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Операция по зачислению денежных средств на счет юридического лица, имеющего стратегическое значение для оборонно-промышленного комплекса и безопасности Донецкой Народной Республики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4017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Операция по списанию денежных средств со счета юридического лица, имеющего стратегическое значение для оборонно-промышленного комплекса и безопасности Донецкой Народной Республики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Иные сделки (операции) с движимым имуществом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5001*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 xml:space="preserve">Помещение драгоценных металлов, драгоценных камней, ювелирных изделий из них и лома таких изделий или иных ценностей в ломбард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Выплата физическому лицу, из-за границы, страхового возмещения по страхованию жизни и иным видам накопительного страхования и пенсионного обеспечения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5022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Перевод за границу физическим лицом страховой премии по страхованию жизни и иным видам накопительного страхования и пенсионного обеспечения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Получение имущества по договору финансовой аренды (лизинга)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5023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Предоставление имущества по договору финансовой аренды (лизинга)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Переводы денежных средств, осуществляемые субъектами первичного финансового мониторинга, кроме Центрального Республиканского Банка Донецкой Народной Республики по поручению клиента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5005*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 xml:space="preserve">Скупка, купля-продажа драгоценных металлов и драгоценных камней, ювелирных изделий из них и лома таких изделий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5007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Предоставление юридическими лицами, беспроцентных займов в наличной форме физическим лицам и/или другим юридическим лицам, а также получение в наличной форме такого займа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5027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Предоставление в безналичной форме юридическими и/или физическими лицами, беспроцентных займов физическим лицам и/или другим юридическим лицам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5008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Операции по переводу или взаимозачёту средств физических и юридических лиц, которые проводятся не Центральным Республиканским Банком Донецкой Народной Республики.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5009*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Неоднократное получение ссуды под залог ювелирных изделий без последующего выкупа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5010*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Неоднократное помещение физическим лицом имущества в ломбард, на территории Донецкой Народной Республики, не соответствующей месту регистрации физического лица</w:t>
            </w:r>
          </w:p>
        </w:tc>
      </w:tr>
      <w:tr w:rsidR="006C11A0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0" w:rsidRPr="007A5694" w:rsidRDefault="006C11A0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0" w:rsidRPr="00AA1FFB" w:rsidRDefault="006C11A0" w:rsidP="005D7792">
            <w:pPr>
              <w:pStyle w:val="ConsPlusCell"/>
              <w:jc w:val="center"/>
              <w:rPr>
                <w:highlight w:val="yellow"/>
              </w:rPr>
            </w:pPr>
            <w:r w:rsidRPr="00AA1FFB">
              <w:t>5011*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0" w:rsidRPr="00AA1FFB" w:rsidRDefault="006C11A0" w:rsidP="005D7792">
            <w:pPr>
              <w:pStyle w:val="ConsPlusCell"/>
              <w:rPr>
                <w:b/>
                <w:highlight w:val="yellow"/>
              </w:rPr>
            </w:pPr>
            <w:r w:rsidRPr="00AA1FFB">
              <w:t>Сдача на комиссию, под залог или в скупку ювелирных изделий из драгоценных металлов и драгоценных камней без оттисков пробирных клейм или с признаками фальшивых оттисков пробирных клейм</w:t>
            </w:r>
          </w:p>
        </w:tc>
      </w:tr>
      <w:tr w:rsidR="00337A09" w:rsidRPr="007A5694" w:rsidTr="00337A09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9" w:rsidRPr="00337A09" w:rsidRDefault="00337A09" w:rsidP="005D7792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9" w:rsidRPr="00337A09" w:rsidRDefault="00337A09" w:rsidP="005D7792">
            <w:pPr>
              <w:pStyle w:val="ConsPlusCell"/>
            </w:pPr>
            <w:r w:rsidRPr="007A5694">
              <w:t>5012*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9" w:rsidRPr="00337A09" w:rsidRDefault="00337A09" w:rsidP="005D7792">
            <w:pPr>
              <w:pStyle w:val="ConsPlusCell"/>
            </w:pPr>
            <w:r w:rsidRPr="007A5694">
              <w:t>Систематическая сдача на комиссию, под залог или в скупку физическим лицом нескольких ювелирных изделий и/или однотипных ювелирных изделий, либо группой лиц однотипных ювелирных изделий, в том числе имеющих товарные бирки</w:t>
            </w:r>
          </w:p>
        </w:tc>
      </w:tr>
    </w:tbl>
    <w:p w:rsidR="003D7CCF" w:rsidRPr="007A5694" w:rsidRDefault="003D7CCF">
      <w:pPr>
        <w:rPr>
          <w:sz w:val="24"/>
          <w:szCs w:val="24"/>
        </w:rPr>
      </w:pPr>
      <w:r w:rsidRPr="007A5694">
        <w:rPr>
          <w:sz w:val="24"/>
          <w:szCs w:val="24"/>
        </w:rPr>
        <w:br w:type="page"/>
      </w: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5013*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Систематическое приобретение физическим лицом нескольких ювелирных или других бытовых изделий из драгоценных металлов и/или драгоценных камней (однотипных) и/или сертифицированных драгоценных камней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5014*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Систематическая сдача на комиссию, под залог или в скупку физическим лицом нескольких предметов бытовой техники и/или однотипных предметов бытовой техники, либо группой лиц однотипных предметов бытовой техники, в том числе не имеющих признаков их использования по целевому назначению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5015*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Сдача на комиссию либо под залог в ломбард транспортного средства либо объекта недвижимости по доверенности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5016*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Выдача кредита под сомнительное обеспечение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Иные операции    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6001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E55331">
            <w:pPr>
              <w:pStyle w:val="ConsPlusCell"/>
            </w:pPr>
            <w:proofErr w:type="gramStart"/>
            <w:r w:rsidRPr="007A5694">
              <w:t>Операции с денежными средствами или иным имуществом (вне зависимости от суммы), сведения о которых предоставляются в Уполномоченный орган в соответствии с пунктом 42 раздела V Временного положения о противодействии легализации (отмыванию) доходов, полученных преступным путем, и финансированию терроризма, утвержденного Постановлением Совета Министров Донецкой Народной Республики от 04.12.2015г № 24-3 (далее – Временное положение)</w:t>
            </w:r>
            <w:proofErr w:type="gramEnd"/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Операции, связанные с финансированием экстремистской, в том числе террористической, деятельности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7001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proofErr w:type="gramStart"/>
            <w:r w:rsidRPr="007A5694">
              <w:t>Операции с денежными средствами или иным имуществом (вне зависимости от суммы), если хотя бы одной из сторон является юридическое или физическое лицо, в отношении которых имеются полученные в установленном в соответствии с Временным положением порядке сведения об их причастности к экстремистской деятельности или терроризму, либо юридическое лицо, прямо или косвенно находящееся в собственности или под контролем таких юридических или физических</w:t>
            </w:r>
            <w:proofErr w:type="gramEnd"/>
            <w:r w:rsidRPr="007A5694">
              <w:t xml:space="preserve"> лиц, либо физическое или юридическое лицо, действующее от имени или по указанию таких юридических или физических лиц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Сделки с недвижимым имуществом на сумму, равную или превышающую 300 000 рублей либо равную сумме в иностранной валюте, эквивалентной 300 000 рублей, или превышающую ее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8001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Сделки с недвижимым имуществом, результатом совершения которых является переход права собственности на такое недвижимое имущество, подлежащие обязательному контролю</w:t>
            </w:r>
          </w:p>
        </w:tc>
      </w:tr>
      <w:tr w:rsidR="00337A09" w:rsidRPr="00337A09" w:rsidTr="00337A09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5D7792">
            <w:pPr>
              <w:pStyle w:val="ConsPlusCell"/>
            </w:pPr>
            <w:r w:rsidRPr="00337A09">
              <w:br w:type="page"/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5D7792">
            <w:pPr>
              <w:pStyle w:val="ConsPlusCel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337A09">
            <w:pPr>
              <w:pStyle w:val="ConsPlusCell"/>
            </w:pPr>
            <w:proofErr w:type="gramStart"/>
            <w:r w:rsidRPr="00337A09">
              <w:t>Операции по получению некоммерческой организацией денежных средств и/или иного имущества от иностранных государств, международных и иностранных организаций, иностранных граждан и лиц без гражданства, а равно по расходованию денежных средств и/или иного имущества указанной организацией на сумму, равную или превышающую 50 000 рублей, либо на сумму в иностранной валюте, эквивалентную 50 000 рублей или превышающую ее (за исключением некоммерческих</w:t>
            </w:r>
            <w:proofErr w:type="gramEnd"/>
            <w:r w:rsidRPr="00337A09">
              <w:t xml:space="preserve"> организаций, список которых утверждается постановлением Совета Министров Донецкой Народной Республики), подлежащие обязательному контролю</w:t>
            </w:r>
          </w:p>
        </w:tc>
      </w:tr>
      <w:tr w:rsidR="00337A09" w:rsidRPr="007A5694" w:rsidTr="00337A09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5D7792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7A5694" w:rsidRDefault="00337A09" w:rsidP="005D7792">
            <w:pPr>
              <w:pStyle w:val="ConsPlusCell"/>
            </w:pPr>
            <w:r w:rsidRPr="007A5694">
              <w:t>9001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7A5694" w:rsidRDefault="00337A09" w:rsidP="00337A09">
            <w:pPr>
              <w:pStyle w:val="ConsPlusCell"/>
            </w:pPr>
            <w:r w:rsidRPr="007A5694">
              <w:t>Операция по получению некоммерческой организацией денежных средств и/или иного имущества</w:t>
            </w:r>
          </w:p>
        </w:tc>
      </w:tr>
    </w:tbl>
    <w:p w:rsidR="003D7CCF" w:rsidRPr="007A5694" w:rsidRDefault="003D7CCF">
      <w:pPr>
        <w:rPr>
          <w:sz w:val="24"/>
          <w:szCs w:val="24"/>
        </w:rPr>
      </w:pPr>
      <w:r w:rsidRPr="007A5694">
        <w:rPr>
          <w:sz w:val="24"/>
          <w:szCs w:val="24"/>
        </w:rPr>
        <w:br w:type="page"/>
      </w: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9002</w:t>
            </w:r>
          </w:p>
        </w:tc>
        <w:tc>
          <w:tcPr>
            <w:tcW w:w="8155" w:type="dxa"/>
            <w:shd w:val="clear" w:color="auto" w:fill="auto"/>
          </w:tcPr>
          <w:p w:rsidR="007A5694" w:rsidRPr="007A5694" w:rsidRDefault="007A5694" w:rsidP="007A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94">
              <w:rPr>
                <w:rFonts w:ascii="Times New Roman" w:hAnsi="Times New Roman" w:cs="Times New Roman"/>
                <w:sz w:val="24"/>
                <w:szCs w:val="24"/>
              </w:rPr>
              <w:t>Операция по расходованию некоммерческой организацией денежных средств и/или иного имущества</w:t>
            </w:r>
          </w:p>
        </w:tc>
      </w:tr>
    </w:tbl>
    <w:p w:rsidR="007A5694" w:rsidRDefault="007A5694" w:rsidP="007A5694">
      <w:pPr>
        <w:widowControl w:val="0"/>
        <w:tabs>
          <w:tab w:val="left" w:pos="2985"/>
        </w:tabs>
        <w:autoSpaceDE w:val="0"/>
        <w:autoSpaceDN w:val="0"/>
        <w:adjustRightInd w:val="0"/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Приложение_5"/>
      <w:bookmarkEnd w:id="1"/>
      <w:r w:rsidRPr="00311467">
        <w:rPr>
          <w:sz w:val="28"/>
          <w:szCs w:val="28"/>
        </w:rPr>
        <w:t>___________________________</w:t>
      </w:r>
    </w:p>
    <w:p w:rsidR="007A5694" w:rsidRDefault="007A5694" w:rsidP="00DD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64942">
        <w:rPr>
          <w:rFonts w:ascii="Times New Roman" w:hAnsi="Times New Roman" w:cs="Times New Roman"/>
          <w:bCs/>
          <w:sz w:val="24"/>
          <w:szCs w:val="24"/>
        </w:rPr>
        <w:t xml:space="preserve">1 Перечень таких государств (территорий) определяется в </w:t>
      </w:r>
      <w:hyperlink r:id="rId9" w:history="1">
        <w:r w:rsidRPr="00C64942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C64942">
        <w:rPr>
          <w:rFonts w:ascii="Times New Roman" w:hAnsi="Times New Roman" w:cs="Times New Roman"/>
          <w:bCs/>
          <w:sz w:val="24"/>
          <w:szCs w:val="24"/>
        </w:rPr>
        <w:t xml:space="preserve">, устанавливаемом </w:t>
      </w:r>
      <w:r w:rsidRPr="00E55331">
        <w:rPr>
          <w:rFonts w:ascii="Times New Roman" w:hAnsi="Times New Roman" w:cs="Times New Roman"/>
          <w:sz w:val="24"/>
          <w:szCs w:val="24"/>
        </w:rPr>
        <w:t>Министерством Финансов</w:t>
      </w:r>
      <w:r w:rsidRPr="00C64942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</w:t>
      </w:r>
      <w:r w:rsidRPr="00C64942">
        <w:rPr>
          <w:rFonts w:ascii="Times New Roman" w:hAnsi="Times New Roman" w:cs="Times New Roman"/>
          <w:bCs/>
          <w:sz w:val="24"/>
          <w:szCs w:val="24"/>
        </w:rPr>
        <w:t>с учетом документов, издаваемых Группой разработки финансовых мер борьбы с отмыванием денег (</w:t>
      </w:r>
      <w:r w:rsidR="00E55331">
        <w:rPr>
          <w:rFonts w:ascii="Times New Roman" w:hAnsi="Times New Roman" w:cs="Times New Roman"/>
          <w:bCs/>
          <w:sz w:val="24"/>
          <w:szCs w:val="24"/>
        </w:rPr>
        <w:t xml:space="preserve">ФАТФ), и подлежит опубликованию  </w:t>
      </w:r>
      <w:r w:rsidR="00E55331" w:rsidRPr="00642EA4">
        <w:rPr>
          <w:rFonts w:ascii="Times New Roman" w:hAnsi="Times New Roman" w:cs="Times New Roman"/>
          <w:bCs/>
          <w:sz w:val="24"/>
          <w:szCs w:val="24"/>
        </w:rPr>
        <w:t>(согласно приложению 2</w:t>
      </w:r>
      <w:r w:rsidR="00B82098">
        <w:rPr>
          <w:rFonts w:ascii="Times New Roman" w:hAnsi="Times New Roman" w:cs="Times New Roman"/>
          <w:bCs/>
          <w:sz w:val="24"/>
          <w:szCs w:val="24"/>
        </w:rPr>
        <w:t>4</w:t>
      </w:r>
      <w:r w:rsidR="00E55331" w:rsidRPr="00642EA4">
        <w:rPr>
          <w:rFonts w:ascii="Times New Roman" w:hAnsi="Times New Roman" w:cs="Times New Roman"/>
          <w:bCs/>
          <w:sz w:val="24"/>
          <w:szCs w:val="24"/>
        </w:rPr>
        <w:t>)</w:t>
      </w:r>
    </w:p>
    <w:p w:rsidR="00B82098" w:rsidRPr="00C64942" w:rsidRDefault="00B82098" w:rsidP="00DD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1BB6" w:rsidRPr="006740E1" w:rsidRDefault="007A5694" w:rsidP="00D832B2">
      <w:pPr>
        <w:widowControl w:val="0"/>
        <w:autoSpaceDE w:val="0"/>
        <w:autoSpaceDN w:val="0"/>
        <w:adjustRightInd w:val="0"/>
      </w:pPr>
      <w:r w:rsidRPr="00C64942">
        <w:rPr>
          <w:rStyle w:val="af1"/>
          <w:rFonts w:ascii="Times New Roman" w:hAnsi="Times New Roman" w:cs="Times New Roman"/>
          <w:sz w:val="24"/>
          <w:szCs w:val="24"/>
        </w:rPr>
        <w:t>*</w:t>
      </w:r>
      <w:r w:rsidRPr="00C64942">
        <w:rPr>
          <w:rFonts w:ascii="Times New Roman" w:hAnsi="Times New Roman" w:cs="Times New Roman"/>
          <w:sz w:val="24"/>
          <w:szCs w:val="24"/>
        </w:rPr>
        <w:t xml:space="preserve"> Операции с денежными средствами или иным имуществом, если сумма, на которую они совершаются, равна или превышает 15 000 рублей либо равна сумме в иностранной валюте, эквивалентной 15 000 рублей, или превышает её.</w:t>
      </w:r>
    </w:p>
    <w:sectPr w:rsidR="00B51BB6" w:rsidRPr="006740E1" w:rsidSect="00D832B2">
      <w:headerReference w:type="default" r:id="rId10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3" w:rsidRDefault="00AA4233" w:rsidP="00E11795">
      <w:r>
        <w:separator/>
      </w:r>
    </w:p>
  </w:endnote>
  <w:endnote w:type="continuationSeparator" w:id="0">
    <w:p w:rsidR="00AA4233" w:rsidRDefault="00AA4233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3" w:rsidRDefault="00AA4233" w:rsidP="00E11795">
      <w:r>
        <w:separator/>
      </w:r>
    </w:p>
  </w:footnote>
  <w:footnote w:type="continuationSeparator" w:id="0">
    <w:p w:rsidR="00AA4233" w:rsidRDefault="00AA4233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88795"/>
      <w:docPartObj>
        <w:docPartGallery w:val="Page Numbers (Top of Page)"/>
        <w:docPartUnique/>
      </w:docPartObj>
    </w:sdtPr>
    <w:sdtEndPr/>
    <w:sdtContent>
      <w:p w:rsidR="00AA4233" w:rsidRDefault="00AA4233" w:rsidP="007A5694">
        <w:pPr>
          <w:pStyle w:val="aff"/>
          <w:jc w:val="right"/>
          <w:rPr>
            <w:sz w:val="24"/>
            <w:szCs w:val="24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D832B2">
          <w:rPr>
            <w:noProof/>
            <w:sz w:val="24"/>
            <w:szCs w:val="24"/>
          </w:rPr>
          <w:t>2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 w:rsidR="00D832B2">
          <w:rPr>
            <w:sz w:val="24"/>
            <w:szCs w:val="24"/>
            <w:lang w:val="en-US"/>
          </w:rPr>
          <w:t>1</w:t>
        </w:r>
        <w:r>
          <w:rPr>
            <w:sz w:val="24"/>
            <w:szCs w:val="24"/>
          </w:rPr>
          <w:t>3</w:t>
        </w:r>
      </w:p>
      <w:p w:rsidR="00AA4233" w:rsidRPr="00871C3A" w:rsidRDefault="00D832B2" w:rsidP="007A5694">
        <w:pPr>
          <w:pStyle w:val="af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7297"/>
    <w:rsid w:val="00990839"/>
    <w:rsid w:val="009913E3"/>
    <w:rsid w:val="00993E98"/>
    <w:rsid w:val="0099597F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A0107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6EE83DAE4F05A94DFBB925ED1E884ABD40B597AA89CEBCA91D72ADE745605DFBEC31BF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B495-3B16-4C79-B98A-8D56771F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3</cp:revision>
  <cp:lastPrinted>2016-12-19T09:38:00Z</cp:lastPrinted>
  <dcterms:created xsi:type="dcterms:W3CDTF">2016-12-23T08:43:00Z</dcterms:created>
  <dcterms:modified xsi:type="dcterms:W3CDTF">2016-12-23T08:45:00Z</dcterms:modified>
</cp:coreProperties>
</file>