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C" w:rsidRDefault="0008228A">
      <w:pPr>
        <w:pStyle w:val="10"/>
        <w:framePr w:w="9446" w:h="984" w:hRule="exact" w:wrap="none" w:vAnchor="page" w:hAnchor="page" w:x="1288" w:y="2169"/>
        <w:shd w:val="clear" w:color="auto" w:fill="auto"/>
        <w:spacing w:after="0"/>
        <w:ind w:left="2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ДОНЕЦКАЯ НАРОДНАЯ РЕСПУБЛИКА</w:t>
      </w:r>
      <w:r>
        <w:rPr>
          <w:rStyle w:val="11"/>
          <w:b/>
          <w:bCs/>
        </w:rPr>
        <w:br/>
        <w:t>СОВЕТ МИНИСТРОВ</w:t>
      </w:r>
      <w:bookmarkEnd w:id="0"/>
    </w:p>
    <w:p w:rsidR="00E44CEC" w:rsidRDefault="0008228A">
      <w:pPr>
        <w:pStyle w:val="20"/>
        <w:framePr w:w="9446" w:h="12344" w:hRule="exact" w:wrap="none" w:vAnchor="page" w:hAnchor="page" w:x="1288" w:y="3539"/>
        <w:shd w:val="clear" w:color="auto" w:fill="auto"/>
        <w:spacing w:before="0"/>
        <w:ind w:left="20"/>
      </w:pPr>
      <w:bookmarkStart w:id="2" w:name="bookmark1"/>
      <w:r>
        <w:rPr>
          <w:rStyle w:val="21"/>
          <w:b/>
          <w:bCs/>
        </w:rPr>
        <w:t>ПОСТАНОВЛЕНИЕ</w:t>
      </w:r>
      <w:bookmarkEnd w:id="2"/>
    </w:p>
    <w:p w:rsidR="00E44CEC" w:rsidRDefault="0008228A">
      <w:pPr>
        <w:pStyle w:val="30"/>
        <w:framePr w:w="9446" w:h="12344" w:hRule="exact" w:wrap="none" w:vAnchor="page" w:hAnchor="page" w:x="1288" w:y="3539"/>
        <w:shd w:val="clear" w:color="auto" w:fill="auto"/>
        <w:spacing w:after="304"/>
        <w:ind w:left="20"/>
      </w:pPr>
      <w:r>
        <w:rPr>
          <w:rStyle w:val="31"/>
          <w:b/>
          <w:bCs/>
        </w:rPr>
        <w:t xml:space="preserve">№ 14-11 от 24.07.2015 </w:t>
      </w:r>
      <w:r>
        <w:rPr>
          <w:rStyle w:val="32"/>
          <w:b/>
          <w:bCs/>
        </w:rPr>
        <w:t>г.</w:t>
      </w:r>
    </w:p>
    <w:p w:rsidR="00E44CEC" w:rsidRDefault="0008228A">
      <w:pPr>
        <w:pStyle w:val="30"/>
        <w:framePr w:w="9446" w:h="12344" w:hRule="exact" w:wrap="none" w:vAnchor="page" w:hAnchor="page" w:x="1288" w:y="3539"/>
        <w:shd w:val="clear" w:color="auto" w:fill="auto"/>
        <w:spacing w:line="322" w:lineRule="exact"/>
        <w:ind w:left="20"/>
      </w:pPr>
      <w:r>
        <w:rPr>
          <w:rStyle w:val="31"/>
          <w:b/>
          <w:bCs/>
        </w:rPr>
        <w:t xml:space="preserve">О внесении изменений в Постановление </w:t>
      </w:r>
      <w:r>
        <w:rPr>
          <w:rStyle w:val="32"/>
          <w:b/>
          <w:bCs/>
        </w:rPr>
        <w:t xml:space="preserve">Президиума </w:t>
      </w:r>
      <w:r>
        <w:rPr>
          <w:rStyle w:val="31"/>
          <w:b/>
          <w:bCs/>
        </w:rPr>
        <w:t>Совета Министров</w:t>
      </w:r>
      <w:r>
        <w:rPr>
          <w:rStyle w:val="31"/>
          <w:b/>
          <w:bCs/>
        </w:rPr>
        <w:br/>
        <w:t xml:space="preserve">Донецкой Народной Республики от 18.04.2015 </w:t>
      </w:r>
      <w:r>
        <w:rPr>
          <w:rStyle w:val="32"/>
          <w:b/>
          <w:bCs/>
        </w:rPr>
        <w:t xml:space="preserve">г. № 6-4 </w:t>
      </w:r>
      <w:r>
        <w:rPr>
          <w:rStyle w:val="31"/>
          <w:b/>
          <w:bCs/>
        </w:rPr>
        <w:t>«Об оплате труда</w:t>
      </w:r>
      <w:r>
        <w:rPr>
          <w:rStyle w:val="31"/>
          <w:b/>
          <w:bCs/>
        </w:rPr>
        <w:br/>
        <w:t xml:space="preserve">работников на основе Единой тарифной </w:t>
      </w:r>
      <w:r>
        <w:rPr>
          <w:rStyle w:val="32"/>
          <w:b/>
          <w:bCs/>
        </w:rPr>
        <w:t xml:space="preserve">сетки </w:t>
      </w:r>
      <w:r>
        <w:rPr>
          <w:rStyle w:val="31"/>
          <w:b/>
          <w:bCs/>
        </w:rPr>
        <w:t>разрядов и</w:t>
      </w:r>
      <w:r>
        <w:rPr>
          <w:rStyle w:val="31"/>
          <w:b/>
          <w:bCs/>
        </w:rPr>
        <w:br/>
        <w:t xml:space="preserve">коэффициентов по оплате труда работников </w:t>
      </w:r>
      <w:r>
        <w:rPr>
          <w:rStyle w:val="32"/>
          <w:b/>
          <w:bCs/>
        </w:rPr>
        <w:t xml:space="preserve">учреждений, </w:t>
      </w:r>
      <w:r>
        <w:rPr>
          <w:rStyle w:val="31"/>
          <w:b/>
          <w:bCs/>
        </w:rPr>
        <w:t>заведений и</w:t>
      </w:r>
      <w:r>
        <w:rPr>
          <w:rStyle w:val="31"/>
          <w:b/>
          <w:bCs/>
        </w:rPr>
        <w:br/>
        <w:t xml:space="preserve">организаций отдельных отраслей </w:t>
      </w:r>
      <w:r>
        <w:rPr>
          <w:rStyle w:val="32"/>
          <w:b/>
          <w:bCs/>
        </w:rPr>
        <w:t xml:space="preserve">бюджетной </w:t>
      </w:r>
      <w:r>
        <w:rPr>
          <w:rStyle w:val="31"/>
          <w:b/>
          <w:bCs/>
        </w:rPr>
        <w:t>сферы»</w:t>
      </w:r>
    </w:p>
    <w:p w:rsidR="00E44CEC" w:rsidRDefault="0008228A">
      <w:pPr>
        <w:pStyle w:val="23"/>
        <w:framePr w:w="9446" w:h="12344" w:hRule="exact" w:wrap="none" w:vAnchor="page" w:hAnchor="page" w:x="1288" w:y="3539"/>
        <w:shd w:val="clear" w:color="auto" w:fill="auto"/>
        <w:spacing w:before="0"/>
        <w:ind w:firstLine="880"/>
      </w:pPr>
      <w:proofErr w:type="gramStart"/>
      <w:r>
        <w:rPr>
          <w:rStyle w:val="24"/>
        </w:rPr>
        <w:t xml:space="preserve">Учитывая исключительное </w:t>
      </w:r>
      <w:r>
        <w:rPr>
          <w:rStyle w:val="25"/>
        </w:rPr>
        <w:t xml:space="preserve">значение </w:t>
      </w:r>
      <w:r>
        <w:rPr>
          <w:rStyle w:val="24"/>
        </w:rPr>
        <w:t xml:space="preserve">науки, высокий интеллектуальный уровень научных </w:t>
      </w:r>
      <w:r>
        <w:rPr>
          <w:rStyle w:val="25"/>
        </w:rPr>
        <w:t xml:space="preserve">сотрудников, </w:t>
      </w:r>
      <w:r>
        <w:rPr>
          <w:rStyle w:val="24"/>
        </w:rPr>
        <w:t>сложность, ответственность и спе</w:t>
      </w:r>
      <w:r>
        <w:rPr>
          <w:rStyle w:val="24"/>
        </w:rPr>
        <w:t xml:space="preserve">цифику их работы, в </w:t>
      </w:r>
      <w:r>
        <w:rPr>
          <w:rStyle w:val="25"/>
        </w:rPr>
        <w:t xml:space="preserve">целях </w:t>
      </w:r>
      <w:r>
        <w:rPr>
          <w:rStyle w:val="24"/>
        </w:rPr>
        <w:t xml:space="preserve">сохранения и развития научно-технического и интеллектуального </w:t>
      </w:r>
      <w:r>
        <w:rPr>
          <w:rStyle w:val="25"/>
        </w:rPr>
        <w:t xml:space="preserve">потенциала, </w:t>
      </w:r>
      <w:r>
        <w:rPr>
          <w:rStyle w:val="24"/>
        </w:rPr>
        <w:t xml:space="preserve">привлечения к работе в научно-исследовательских учреждениях, </w:t>
      </w:r>
      <w:r>
        <w:rPr>
          <w:rStyle w:val="25"/>
        </w:rPr>
        <w:t xml:space="preserve">организациях </w:t>
      </w:r>
      <w:r>
        <w:rPr>
          <w:rStyle w:val="24"/>
        </w:rPr>
        <w:t xml:space="preserve">и других научных учреждениях талантливой молодежи, </w:t>
      </w:r>
      <w:r>
        <w:rPr>
          <w:rStyle w:val="25"/>
        </w:rPr>
        <w:t xml:space="preserve">стимулирования </w:t>
      </w:r>
      <w:r>
        <w:rPr>
          <w:rStyle w:val="24"/>
        </w:rPr>
        <w:t>труда научных со</w:t>
      </w:r>
      <w:r>
        <w:rPr>
          <w:rStyle w:val="24"/>
        </w:rPr>
        <w:t xml:space="preserve">трудников к разработке новых инновационных решений, а также для дальнейшего упорядочения условий оплаты </w:t>
      </w:r>
      <w:r>
        <w:rPr>
          <w:rStyle w:val="25"/>
        </w:rPr>
        <w:t xml:space="preserve">труда </w:t>
      </w:r>
      <w:r>
        <w:rPr>
          <w:rStyle w:val="24"/>
        </w:rPr>
        <w:t>профессионалов и специалистов, которые проводят научные</w:t>
      </w:r>
      <w:proofErr w:type="gramEnd"/>
      <w:r>
        <w:rPr>
          <w:rStyle w:val="24"/>
        </w:rPr>
        <w:t xml:space="preserve"> и </w:t>
      </w:r>
      <w:r>
        <w:rPr>
          <w:rStyle w:val="25"/>
        </w:rPr>
        <w:t xml:space="preserve">научно-технические </w:t>
      </w:r>
      <w:r>
        <w:rPr>
          <w:rStyle w:val="24"/>
        </w:rPr>
        <w:t xml:space="preserve">разработки, выполняют научно-организационную </w:t>
      </w:r>
      <w:r>
        <w:rPr>
          <w:rStyle w:val="25"/>
        </w:rPr>
        <w:t xml:space="preserve">работу и других </w:t>
      </w:r>
      <w:r>
        <w:rPr>
          <w:rStyle w:val="24"/>
        </w:rPr>
        <w:t>работник</w:t>
      </w:r>
      <w:r>
        <w:rPr>
          <w:rStyle w:val="24"/>
        </w:rPr>
        <w:t xml:space="preserve">ов бюджетных научно-исследовательских </w:t>
      </w:r>
      <w:r>
        <w:rPr>
          <w:rStyle w:val="25"/>
        </w:rPr>
        <w:t xml:space="preserve">учреждений и </w:t>
      </w:r>
      <w:r>
        <w:rPr>
          <w:rStyle w:val="24"/>
        </w:rPr>
        <w:t xml:space="preserve">других научных </w:t>
      </w:r>
      <w:r>
        <w:rPr>
          <w:rStyle w:val="25"/>
        </w:rPr>
        <w:t xml:space="preserve">организаций, </w:t>
      </w:r>
      <w:r>
        <w:rPr>
          <w:rStyle w:val="24"/>
        </w:rPr>
        <w:t xml:space="preserve">Совет Министров </w:t>
      </w:r>
      <w:r>
        <w:rPr>
          <w:rStyle w:val="25"/>
        </w:rPr>
        <w:t xml:space="preserve">Донецкой Народной </w:t>
      </w:r>
      <w:r>
        <w:rPr>
          <w:rStyle w:val="24"/>
        </w:rPr>
        <w:t>Республики постановляет:</w:t>
      </w:r>
    </w:p>
    <w:p w:rsidR="00E44CEC" w:rsidRDefault="0008228A">
      <w:pPr>
        <w:pStyle w:val="23"/>
        <w:framePr w:w="9446" w:h="12344" w:hRule="exact" w:wrap="none" w:vAnchor="page" w:hAnchor="page" w:x="1288" w:y="3539"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firstLine="880"/>
      </w:pPr>
      <w:r>
        <w:rPr>
          <w:rStyle w:val="24"/>
        </w:rPr>
        <w:t>Абзацы «б» и «</w:t>
      </w:r>
      <w:proofErr w:type="gramStart"/>
      <w:r>
        <w:rPr>
          <w:rStyle w:val="24"/>
        </w:rPr>
        <w:t>в</w:t>
      </w:r>
      <w:proofErr w:type="gramEnd"/>
      <w:r>
        <w:rPr>
          <w:rStyle w:val="24"/>
        </w:rPr>
        <w:t xml:space="preserve">» </w:t>
      </w:r>
      <w:proofErr w:type="gramStart"/>
      <w:r>
        <w:rPr>
          <w:rStyle w:val="25"/>
        </w:rPr>
        <w:t>подпункта</w:t>
      </w:r>
      <w:proofErr w:type="gramEnd"/>
      <w:r>
        <w:rPr>
          <w:rStyle w:val="25"/>
        </w:rPr>
        <w:t xml:space="preserve"> 3.2. пункта </w:t>
      </w:r>
      <w:r>
        <w:rPr>
          <w:rStyle w:val="24"/>
        </w:rPr>
        <w:t xml:space="preserve">3 Постановления Президиума Совета Министров Донецкой </w:t>
      </w:r>
      <w:r>
        <w:rPr>
          <w:rStyle w:val="25"/>
        </w:rPr>
        <w:t xml:space="preserve">Народной Республики </w:t>
      </w:r>
      <w:r>
        <w:rPr>
          <w:rStyle w:val="24"/>
        </w:rPr>
        <w:t>18.04.</w:t>
      </w:r>
      <w:r>
        <w:rPr>
          <w:rStyle w:val="24"/>
        </w:rPr>
        <w:t xml:space="preserve">2015г. № </w:t>
      </w:r>
      <w:r>
        <w:rPr>
          <w:rStyle w:val="25"/>
        </w:rPr>
        <w:t xml:space="preserve">6-4 от </w:t>
      </w:r>
      <w:r>
        <w:rPr>
          <w:rStyle w:val="24"/>
        </w:rPr>
        <w:t xml:space="preserve">«Об оплате труда работников на </w:t>
      </w:r>
      <w:r>
        <w:rPr>
          <w:rStyle w:val="25"/>
        </w:rPr>
        <w:t xml:space="preserve">основе Единой </w:t>
      </w:r>
      <w:r>
        <w:rPr>
          <w:rStyle w:val="24"/>
        </w:rPr>
        <w:t xml:space="preserve">тарифной сетки разрядов и коэффициентов по оплате труда </w:t>
      </w:r>
      <w:r>
        <w:rPr>
          <w:rStyle w:val="25"/>
        </w:rPr>
        <w:t xml:space="preserve">работников </w:t>
      </w:r>
      <w:r>
        <w:rPr>
          <w:rStyle w:val="24"/>
        </w:rPr>
        <w:t xml:space="preserve">учреждений, заведений и организаций отдельных отраслей </w:t>
      </w:r>
      <w:r>
        <w:rPr>
          <w:rStyle w:val="25"/>
        </w:rPr>
        <w:t xml:space="preserve">бюджетной </w:t>
      </w:r>
      <w:r>
        <w:rPr>
          <w:rStyle w:val="24"/>
        </w:rPr>
        <w:t>сферы» исключить.</w:t>
      </w:r>
    </w:p>
    <w:p w:rsidR="00E44CEC" w:rsidRDefault="0008228A">
      <w:pPr>
        <w:pStyle w:val="23"/>
        <w:framePr w:w="9446" w:h="12344" w:hRule="exact" w:wrap="none" w:vAnchor="page" w:hAnchor="page" w:x="1288" w:y="3539"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firstLine="880"/>
      </w:pPr>
      <w:r>
        <w:rPr>
          <w:rStyle w:val="24"/>
        </w:rPr>
        <w:t xml:space="preserve">Пункт 3 Постановления </w:t>
      </w:r>
      <w:r>
        <w:rPr>
          <w:rStyle w:val="25"/>
        </w:rPr>
        <w:t xml:space="preserve">Президиума </w:t>
      </w:r>
      <w:r>
        <w:rPr>
          <w:rStyle w:val="24"/>
        </w:rPr>
        <w:t>Совета Минис</w:t>
      </w:r>
      <w:r>
        <w:rPr>
          <w:rStyle w:val="24"/>
        </w:rPr>
        <w:t xml:space="preserve">тров Донецкой Народной Республики от 18.04.2015 </w:t>
      </w:r>
      <w:r>
        <w:rPr>
          <w:rStyle w:val="25"/>
        </w:rPr>
        <w:t xml:space="preserve">г. № 6-4 </w:t>
      </w:r>
      <w:r>
        <w:rPr>
          <w:rStyle w:val="24"/>
        </w:rPr>
        <w:t xml:space="preserve">«Об оплате труда работников на основе Единой тарифной сетки </w:t>
      </w:r>
      <w:r>
        <w:rPr>
          <w:rStyle w:val="25"/>
        </w:rPr>
        <w:t xml:space="preserve">разрядов и </w:t>
      </w:r>
      <w:r>
        <w:rPr>
          <w:rStyle w:val="24"/>
        </w:rPr>
        <w:t xml:space="preserve">коэффициентов по оплате труда работников учреждений, заведений </w:t>
      </w:r>
      <w:r>
        <w:rPr>
          <w:rStyle w:val="25"/>
        </w:rPr>
        <w:t xml:space="preserve">и </w:t>
      </w:r>
      <w:r>
        <w:rPr>
          <w:rStyle w:val="24"/>
        </w:rPr>
        <w:t xml:space="preserve">организаций отдельных отраслей бюджетной сферы» дополнить </w:t>
      </w:r>
      <w:r>
        <w:rPr>
          <w:rStyle w:val="25"/>
        </w:rPr>
        <w:t>подпу</w:t>
      </w:r>
      <w:r>
        <w:rPr>
          <w:rStyle w:val="25"/>
        </w:rPr>
        <w:t xml:space="preserve">нктом </w:t>
      </w:r>
      <w:r>
        <w:rPr>
          <w:rStyle w:val="24"/>
        </w:rPr>
        <w:t>3.5. следующего содержания:</w:t>
      </w:r>
    </w:p>
    <w:p w:rsidR="00E44CEC" w:rsidRDefault="0008228A">
      <w:pPr>
        <w:pStyle w:val="23"/>
        <w:framePr w:w="9446" w:h="12344" w:hRule="exact" w:wrap="none" w:vAnchor="page" w:hAnchor="page" w:x="1288" w:y="3539"/>
        <w:shd w:val="clear" w:color="auto" w:fill="auto"/>
        <w:spacing w:before="0"/>
        <w:ind w:firstLine="880"/>
      </w:pPr>
      <w:r>
        <w:rPr>
          <w:rStyle w:val="25"/>
        </w:rPr>
        <w:t xml:space="preserve">«3.5. </w:t>
      </w:r>
      <w:r>
        <w:rPr>
          <w:rStyle w:val="24"/>
        </w:rPr>
        <w:t xml:space="preserve">Должностные оклады работников </w:t>
      </w:r>
      <w:r>
        <w:rPr>
          <w:rStyle w:val="25"/>
        </w:rPr>
        <w:t xml:space="preserve">учреждений, </w:t>
      </w:r>
      <w:r>
        <w:rPr>
          <w:rStyle w:val="24"/>
        </w:rPr>
        <w:t xml:space="preserve">которые имеют </w:t>
      </w:r>
      <w:r>
        <w:rPr>
          <w:rStyle w:val="25"/>
        </w:rPr>
        <w:t xml:space="preserve">почетные </w:t>
      </w:r>
      <w:r>
        <w:rPr>
          <w:rStyle w:val="24"/>
        </w:rPr>
        <w:t xml:space="preserve">звание, спортивные звания, </w:t>
      </w:r>
      <w:r>
        <w:rPr>
          <w:rStyle w:val="25"/>
        </w:rPr>
        <w:t>повышаются соответственно:</w:t>
      </w:r>
    </w:p>
    <w:p w:rsidR="00E44CEC" w:rsidRDefault="0008228A">
      <w:pPr>
        <w:pStyle w:val="23"/>
        <w:framePr w:w="9446" w:h="12344" w:hRule="exact" w:wrap="none" w:vAnchor="page" w:hAnchor="page" w:x="1288" w:y="3539"/>
        <w:shd w:val="clear" w:color="auto" w:fill="auto"/>
        <w:spacing w:before="0"/>
        <w:ind w:firstLine="880"/>
      </w:pPr>
      <w:r>
        <w:rPr>
          <w:rStyle w:val="24"/>
        </w:rPr>
        <w:t xml:space="preserve">а) за почетные звания Донецкой </w:t>
      </w:r>
      <w:r>
        <w:rPr>
          <w:rStyle w:val="25"/>
        </w:rPr>
        <w:t xml:space="preserve">Народной </w:t>
      </w:r>
      <w:r>
        <w:rPr>
          <w:rStyle w:val="24"/>
        </w:rPr>
        <w:t xml:space="preserve">Республики, Украины, </w:t>
      </w:r>
      <w:r>
        <w:rPr>
          <w:rStyle w:val="25"/>
        </w:rPr>
        <w:t xml:space="preserve">СССР, </w:t>
      </w:r>
      <w:r>
        <w:rPr>
          <w:rStyle w:val="24"/>
        </w:rPr>
        <w:t xml:space="preserve">союзных республик СССР </w:t>
      </w:r>
      <w:r>
        <w:rPr>
          <w:rStyle w:val="25"/>
        </w:rPr>
        <w:t>«народн</w:t>
      </w:r>
      <w:r>
        <w:rPr>
          <w:rStyle w:val="25"/>
        </w:rPr>
        <w:t xml:space="preserve">ый» - </w:t>
      </w:r>
      <w:r>
        <w:rPr>
          <w:rStyle w:val="24"/>
        </w:rPr>
        <w:t>на 40 процентов, «заслуженный» - на 20 процентов;</w:t>
      </w:r>
    </w:p>
    <w:p w:rsidR="00E44CEC" w:rsidRDefault="00460D43">
      <w:pPr>
        <w:framePr w:wrap="none" w:vAnchor="page" w:hAnchor="page" w:x="5364" w:y="11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2160" cy="629285"/>
            <wp:effectExtent l="0" t="0" r="0" b="0"/>
            <wp:docPr id="1" name="Рисунок 1" descr="C:\Documents and Settings\v.stamati\Рабочий стол\в Минюс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stamati\Рабочий стол\в Минюст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EC" w:rsidRDefault="00E44CEC">
      <w:pPr>
        <w:rPr>
          <w:sz w:val="2"/>
          <w:szCs w:val="2"/>
        </w:rPr>
        <w:sectPr w:rsidR="00E44C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4CEC" w:rsidRDefault="0008228A">
      <w:pPr>
        <w:pStyle w:val="23"/>
        <w:framePr w:w="9605" w:h="5465" w:hRule="exact" w:wrap="none" w:vAnchor="page" w:hAnchor="page" w:x="1200" w:y="1139"/>
        <w:shd w:val="clear" w:color="auto" w:fill="auto"/>
        <w:spacing w:before="0"/>
        <w:ind w:left="200" w:firstLine="840"/>
      </w:pPr>
      <w:r>
        <w:rPr>
          <w:rStyle w:val="24"/>
          <w:lang w:val="uk-UA" w:eastAsia="uk-UA" w:bidi="uk-UA"/>
        </w:rPr>
        <w:lastRenderedPageBreak/>
        <w:t xml:space="preserve">б) за </w:t>
      </w:r>
      <w:r>
        <w:rPr>
          <w:rStyle w:val="24"/>
        </w:rPr>
        <w:t xml:space="preserve">спортивные звания </w:t>
      </w:r>
      <w:r>
        <w:rPr>
          <w:rStyle w:val="25"/>
        </w:rPr>
        <w:t xml:space="preserve">«заслуженный тренер», </w:t>
      </w:r>
      <w:r>
        <w:rPr>
          <w:rStyle w:val="24"/>
        </w:rPr>
        <w:t xml:space="preserve">«заслуженный мастер спорта» </w:t>
      </w:r>
      <w:r>
        <w:rPr>
          <w:rStyle w:val="25"/>
        </w:rPr>
        <w:t xml:space="preserve">- </w:t>
      </w:r>
      <w:r>
        <w:rPr>
          <w:rStyle w:val="24"/>
        </w:rPr>
        <w:t xml:space="preserve">на 20 процентов; «мастер спорта международного класса» </w:t>
      </w:r>
      <w:r>
        <w:rPr>
          <w:rStyle w:val="25"/>
        </w:rPr>
        <w:t xml:space="preserve">- </w:t>
      </w:r>
      <w:r>
        <w:rPr>
          <w:rStyle w:val="24"/>
        </w:rPr>
        <w:t>на 15 процентов; «мастер спорта» - 10 процентов.</w:t>
      </w:r>
    </w:p>
    <w:p w:rsidR="00E44CEC" w:rsidRDefault="0008228A">
      <w:pPr>
        <w:pStyle w:val="23"/>
        <w:framePr w:w="9605" w:h="5465" w:hRule="exact" w:wrap="none" w:vAnchor="page" w:hAnchor="page" w:x="1200" w:y="1139"/>
        <w:shd w:val="clear" w:color="auto" w:fill="auto"/>
        <w:spacing w:before="0"/>
        <w:ind w:left="200" w:firstLine="840"/>
      </w:pPr>
      <w:r>
        <w:rPr>
          <w:rStyle w:val="24"/>
        </w:rPr>
        <w:t xml:space="preserve">Повышенные должностные оклады за </w:t>
      </w:r>
      <w:r>
        <w:rPr>
          <w:rStyle w:val="25"/>
        </w:rPr>
        <w:t xml:space="preserve">почетные и </w:t>
      </w:r>
      <w:r>
        <w:rPr>
          <w:rStyle w:val="24"/>
        </w:rPr>
        <w:t xml:space="preserve">спортивные звания устанавливаются работникам, если их </w:t>
      </w:r>
      <w:r>
        <w:rPr>
          <w:rStyle w:val="25"/>
        </w:rPr>
        <w:t xml:space="preserve">деятельность по </w:t>
      </w:r>
      <w:r>
        <w:rPr>
          <w:rStyle w:val="24"/>
        </w:rPr>
        <w:t>профил</w:t>
      </w:r>
      <w:r>
        <w:rPr>
          <w:rStyle w:val="24"/>
        </w:rPr>
        <w:t xml:space="preserve">ю совпадает с имеющимся почетным или спортивным званием. </w:t>
      </w:r>
      <w:r>
        <w:rPr>
          <w:rStyle w:val="25"/>
        </w:rPr>
        <w:t xml:space="preserve">При </w:t>
      </w:r>
      <w:r>
        <w:rPr>
          <w:rStyle w:val="24"/>
        </w:rPr>
        <w:t xml:space="preserve">наличии двух или более званий повышенный должностной оклад </w:t>
      </w:r>
      <w:r>
        <w:rPr>
          <w:rStyle w:val="25"/>
        </w:rPr>
        <w:t xml:space="preserve">устанавливается </w:t>
      </w:r>
      <w:r>
        <w:rPr>
          <w:rStyle w:val="24"/>
        </w:rPr>
        <w:t xml:space="preserve">за одно (высшее) звание. Соответствие почетного или </w:t>
      </w:r>
      <w:r>
        <w:rPr>
          <w:rStyle w:val="25"/>
        </w:rPr>
        <w:t xml:space="preserve">спортивного </w:t>
      </w:r>
      <w:r>
        <w:rPr>
          <w:rStyle w:val="24"/>
        </w:rPr>
        <w:t xml:space="preserve">звания профилю деятельности работника в. должности </w:t>
      </w:r>
      <w:r>
        <w:rPr>
          <w:rStyle w:val="25"/>
        </w:rPr>
        <w:t>опред</w:t>
      </w:r>
      <w:r>
        <w:rPr>
          <w:rStyle w:val="25"/>
        </w:rPr>
        <w:t xml:space="preserve">еляется </w:t>
      </w:r>
      <w:r>
        <w:rPr>
          <w:rStyle w:val="24"/>
        </w:rPr>
        <w:t>руководителем учреждения, заведения или организации</w:t>
      </w:r>
      <w:proofErr w:type="gramStart"/>
      <w:r>
        <w:rPr>
          <w:rStyle w:val="24"/>
        </w:rPr>
        <w:t>.».</w:t>
      </w:r>
      <w:proofErr w:type="gramEnd"/>
    </w:p>
    <w:p w:rsidR="00E44CEC" w:rsidRDefault="0008228A">
      <w:pPr>
        <w:pStyle w:val="23"/>
        <w:framePr w:w="9605" w:h="5465" w:hRule="exact" w:wrap="none" w:vAnchor="page" w:hAnchor="page" w:x="1200" w:y="1139"/>
        <w:numPr>
          <w:ilvl w:val="0"/>
          <w:numId w:val="2"/>
        </w:numPr>
        <w:shd w:val="clear" w:color="auto" w:fill="auto"/>
        <w:tabs>
          <w:tab w:val="left" w:pos="1602"/>
          <w:tab w:val="left" w:pos="6805"/>
        </w:tabs>
        <w:spacing w:before="0"/>
        <w:ind w:left="200" w:firstLine="840"/>
      </w:pPr>
      <w:r>
        <w:rPr>
          <w:rStyle w:val="24"/>
        </w:rPr>
        <w:t xml:space="preserve">Раздел II «Наука» Приложения </w:t>
      </w:r>
      <w:r>
        <w:rPr>
          <w:rStyle w:val="25"/>
        </w:rPr>
        <w:t>№</w:t>
      </w:r>
      <w:r>
        <w:rPr>
          <w:rStyle w:val="25"/>
        </w:rPr>
        <w:tab/>
        <w:t xml:space="preserve">2 </w:t>
      </w:r>
      <w:r>
        <w:rPr>
          <w:rStyle w:val="24"/>
        </w:rPr>
        <w:t>к Постановлению</w:t>
      </w:r>
    </w:p>
    <w:p w:rsidR="00E44CEC" w:rsidRDefault="0008228A">
      <w:pPr>
        <w:pStyle w:val="23"/>
        <w:framePr w:w="9605" w:h="5465" w:hRule="exact" w:wrap="none" w:vAnchor="page" w:hAnchor="page" w:x="1200" w:y="1139"/>
        <w:shd w:val="clear" w:color="auto" w:fill="auto"/>
        <w:spacing w:before="0"/>
        <w:ind w:left="200"/>
      </w:pPr>
      <w:r>
        <w:rPr>
          <w:rStyle w:val="24"/>
        </w:rPr>
        <w:t xml:space="preserve">Президиума Совета Министров Донецкой </w:t>
      </w:r>
      <w:r>
        <w:rPr>
          <w:rStyle w:val="25"/>
        </w:rPr>
        <w:t xml:space="preserve">Народной </w:t>
      </w:r>
      <w:r>
        <w:rPr>
          <w:rStyle w:val="24"/>
        </w:rPr>
        <w:t xml:space="preserve">Республики от 18.04.2015 г. № 6-4 «Об оплате труда работников </w:t>
      </w:r>
      <w:r>
        <w:rPr>
          <w:rStyle w:val="25"/>
        </w:rPr>
        <w:t xml:space="preserve">на основе </w:t>
      </w:r>
      <w:r>
        <w:rPr>
          <w:rStyle w:val="24"/>
        </w:rPr>
        <w:t>Единой тарифной сетки разр</w:t>
      </w:r>
      <w:r>
        <w:rPr>
          <w:rStyle w:val="24"/>
        </w:rPr>
        <w:t xml:space="preserve">ядов и коэффициентов по оплате </w:t>
      </w:r>
      <w:r>
        <w:rPr>
          <w:rStyle w:val="25"/>
        </w:rPr>
        <w:t xml:space="preserve">труда </w:t>
      </w:r>
      <w:r>
        <w:rPr>
          <w:rStyle w:val="24"/>
        </w:rPr>
        <w:t xml:space="preserve">работников учреждений, заведений и организаций отдельных отраслей </w:t>
      </w:r>
      <w:r>
        <w:rPr>
          <w:rStyle w:val="25"/>
        </w:rPr>
        <w:t xml:space="preserve">бюджетной </w:t>
      </w:r>
      <w:r>
        <w:rPr>
          <w:rStyle w:val="24"/>
        </w:rPr>
        <w:t>сферы» изложить в следующей редакции;</w:t>
      </w:r>
    </w:p>
    <w:p w:rsidR="00E44CEC" w:rsidRDefault="0008228A">
      <w:pPr>
        <w:pStyle w:val="40"/>
        <w:framePr w:w="9605" w:h="5465" w:hRule="exact" w:wrap="none" w:vAnchor="page" w:hAnchor="page" w:x="1200" w:y="1139"/>
        <w:shd w:val="clear" w:color="auto" w:fill="auto"/>
        <w:spacing w:after="0" w:line="240" w:lineRule="exact"/>
        <w:ind w:right="140"/>
      </w:pPr>
      <w:r>
        <w:rPr>
          <w:rStyle w:val="41"/>
        </w:rPr>
        <w:t>«II. Наука</w:t>
      </w:r>
    </w:p>
    <w:p w:rsidR="00E44CEC" w:rsidRDefault="0008228A">
      <w:pPr>
        <w:pStyle w:val="40"/>
        <w:framePr w:w="9528" w:h="576" w:hRule="exact" w:wrap="none" w:vAnchor="page" w:hAnchor="page" w:x="1276" w:y="6889"/>
        <w:shd w:val="clear" w:color="auto" w:fill="auto"/>
        <w:spacing w:after="0" w:line="274" w:lineRule="exact"/>
      </w:pPr>
      <w:r>
        <w:rPr>
          <w:rStyle w:val="42"/>
        </w:rPr>
        <w:t xml:space="preserve">2. </w:t>
      </w:r>
      <w:r>
        <w:rPr>
          <w:rStyle w:val="41"/>
        </w:rPr>
        <w:t xml:space="preserve">Научные учреждения и организации, подчиненные </w:t>
      </w:r>
      <w:r>
        <w:rPr>
          <w:rStyle w:val="42"/>
        </w:rPr>
        <w:t xml:space="preserve">отраслевым </w:t>
      </w:r>
      <w:r>
        <w:rPr>
          <w:rStyle w:val="41"/>
        </w:rPr>
        <w:t>академиям наук,</w:t>
      </w:r>
      <w:r>
        <w:rPr>
          <w:rStyle w:val="41"/>
        </w:rPr>
        <w:br/>
        <w:t>органам государств</w:t>
      </w:r>
      <w:r>
        <w:rPr>
          <w:rStyle w:val="41"/>
        </w:rPr>
        <w:t xml:space="preserve">енной власти, и другие научные </w:t>
      </w:r>
      <w:r>
        <w:rPr>
          <w:rStyle w:val="42"/>
        </w:rPr>
        <w:t xml:space="preserve">учреждения </w:t>
      </w:r>
      <w:r>
        <w:rPr>
          <w:rStyle w:val="41"/>
        </w:rPr>
        <w:t>и организации</w:t>
      </w:r>
    </w:p>
    <w:p w:rsidR="00E44CEC" w:rsidRDefault="00460D43">
      <w:pPr>
        <w:framePr w:wrap="none" w:vAnchor="page" w:hAnchor="page" w:x="1200" w:y="77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56630" cy="5426710"/>
            <wp:effectExtent l="0" t="0" r="0" b="0"/>
            <wp:docPr id="2" name="Рисунок 2" descr="C:\Documents and Settings\v.stamati\Рабочий стол\в Минюс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stamati\Рабочий стол\в Минюст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EC" w:rsidRDefault="00E44CEC">
      <w:pPr>
        <w:rPr>
          <w:sz w:val="2"/>
          <w:szCs w:val="2"/>
        </w:rPr>
        <w:sectPr w:rsidR="00E44C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4CEC" w:rsidRDefault="00460D43">
      <w:pPr>
        <w:framePr w:wrap="none" w:vAnchor="page" w:hAnchor="page" w:x="1277" w:y="109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96940" cy="9618980"/>
            <wp:effectExtent l="0" t="0" r="0" b="0"/>
            <wp:docPr id="3" name="Рисунок 3" descr="C:\Documents and Settings\v.stamati\Рабочий стол\в Минюст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.stamati\Рабочий стол\в Минюст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6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EC" w:rsidRDefault="00E44CEC">
      <w:pPr>
        <w:rPr>
          <w:sz w:val="2"/>
          <w:szCs w:val="2"/>
        </w:rPr>
        <w:sectPr w:rsidR="00E44C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4CEC" w:rsidRDefault="00460D43">
      <w:pPr>
        <w:framePr w:wrap="none" w:vAnchor="page" w:hAnchor="page" w:x="1262" w:y="105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21070" cy="9702165"/>
            <wp:effectExtent l="0" t="0" r="0" b="0"/>
            <wp:docPr id="4" name="Рисунок 4" descr="C:\Documents and Settings\v.stamati\Рабочий стол\в Минюст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.stamati\Рабочий стол\в Минюст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97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EC" w:rsidRDefault="00E44CEC">
      <w:pPr>
        <w:rPr>
          <w:sz w:val="2"/>
          <w:szCs w:val="2"/>
        </w:rPr>
        <w:sectPr w:rsidR="00E44C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4CEC" w:rsidRDefault="00460D43">
      <w:pPr>
        <w:framePr w:wrap="none" w:vAnchor="page" w:hAnchor="page" w:x="1217" w:y="105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92190" cy="3348990"/>
            <wp:effectExtent l="0" t="0" r="0" b="0"/>
            <wp:docPr id="5" name="Рисунок 5" descr="C:\Documents and Settings\v.stamati\Рабочий стол\в Минюст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.stamati\Рабочий стол\в Минюст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EC" w:rsidRDefault="00E44CEC">
      <w:pPr>
        <w:rPr>
          <w:sz w:val="2"/>
          <w:szCs w:val="2"/>
        </w:rPr>
      </w:pPr>
    </w:p>
    <w:sectPr w:rsidR="00E44C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8A" w:rsidRDefault="0008228A">
      <w:r>
        <w:separator/>
      </w:r>
    </w:p>
  </w:endnote>
  <w:endnote w:type="continuationSeparator" w:id="0">
    <w:p w:rsidR="0008228A" w:rsidRDefault="0008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8A" w:rsidRDefault="0008228A"/>
  </w:footnote>
  <w:footnote w:type="continuationSeparator" w:id="0">
    <w:p w:rsidR="0008228A" w:rsidRDefault="000822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FEA"/>
    <w:multiLevelType w:val="multilevel"/>
    <w:tmpl w:val="4BBAA6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94D08"/>
    <w:multiLevelType w:val="multilevel"/>
    <w:tmpl w:val="E2AC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C"/>
    <w:rsid w:val="0008228A"/>
    <w:rsid w:val="00460D43"/>
    <w:rsid w:val="00E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0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0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Стамати Вилли Владимирович</cp:lastModifiedBy>
  <cp:revision>2</cp:revision>
  <dcterms:created xsi:type="dcterms:W3CDTF">2017-05-15T08:01:00Z</dcterms:created>
  <dcterms:modified xsi:type="dcterms:W3CDTF">2017-05-15T08:02:00Z</dcterms:modified>
</cp:coreProperties>
</file>