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AE" w:rsidRPr="00517B02" w:rsidRDefault="007A04AE" w:rsidP="007A04AE">
      <w:pPr>
        <w:pStyle w:val="a3"/>
        <w:adjustRightInd w:val="0"/>
        <w:snapToGrid w:val="0"/>
        <w:ind w:right="-6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7B0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517B02">
        <w:rPr>
          <w:rFonts w:ascii="Times New Roman" w:hAnsi="Times New Roman"/>
          <w:sz w:val="28"/>
          <w:szCs w:val="28"/>
        </w:rPr>
        <w:t xml:space="preserve"> 1</w:t>
      </w:r>
    </w:p>
    <w:p w:rsidR="007A04AE" w:rsidRDefault="007A04AE" w:rsidP="007A04AE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  <w:r w:rsidRPr="00517B02">
        <w:rPr>
          <w:rFonts w:ascii="Times New Roman" w:hAnsi="Times New Roman"/>
          <w:sz w:val="28"/>
          <w:szCs w:val="28"/>
        </w:rPr>
        <w:t>к Порядку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02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02">
        <w:rPr>
          <w:rFonts w:ascii="Times New Roman" w:hAnsi="Times New Roman"/>
          <w:sz w:val="28"/>
          <w:szCs w:val="28"/>
        </w:rPr>
        <w:t>помощи населению по профи</w:t>
      </w:r>
      <w:r>
        <w:rPr>
          <w:rFonts w:ascii="Times New Roman" w:hAnsi="Times New Roman"/>
          <w:sz w:val="28"/>
          <w:szCs w:val="28"/>
        </w:rPr>
        <w:t>лю «</w:t>
      </w:r>
      <w:r>
        <w:rPr>
          <w:rFonts w:ascii="Times New Roman" w:hAnsi="Times New Roman"/>
          <w:bCs/>
          <w:sz w:val="28"/>
          <w:szCs w:val="28"/>
        </w:rPr>
        <w:t>Д</w:t>
      </w:r>
      <w:r w:rsidRPr="004B58EE">
        <w:rPr>
          <w:rFonts w:ascii="Times New Roman" w:hAnsi="Times New Roman"/>
          <w:bCs/>
          <w:sz w:val="28"/>
          <w:szCs w:val="28"/>
        </w:rPr>
        <w:t>етская гастроэнтерология</w:t>
      </w:r>
      <w:r>
        <w:rPr>
          <w:rFonts w:ascii="Times New Roman" w:hAnsi="Times New Roman"/>
          <w:sz w:val="28"/>
          <w:szCs w:val="28"/>
        </w:rPr>
        <w:t>»</w:t>
      </w:r>
    </w:p>
    <w:p w:rsidR="007A04AE" w:rsidRDefault="007A04AE" w:rsidP="007A04AE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15)</w:t>
      </w:r>
    </w:p>
    <w:p w:rsidR="007A04AE" w:rsidRPr="00517B02" w:rsidRDefault="007A04AE" w:rsidP="007A04AE">
      <w:pPr>
        <w:pStyle w:val="a3"/>
        <w:adjustRightInd w:val="0"/>
        <w:snapToGrid w:val="0"/>
        <w:ind w:left="5220" w:right="-6"/>
        <w:rPr>
          <w:rFonts w:ascii="Times New Roman" w:hAnsi="Times New Roman"/>
          <w:sz w:val="28"/>
          <w:szCs w:val="28"/>
        </w:rPr>
      </w:pPr>
    </w:p>
    <w:p w:rsidR="007A04AE" w:rsidRDefault="007A04AE" w:rsidP="007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Default="007A04AE" w:rsidP="007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Pr="00BF40AC" w:rsidRDefault="007A04AE" w:rsidP="007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Pr="00E7219F" w:rsidRDefault="007A04AE" w:rsidP="007A04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9F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</w:t>
      </w:r>
    </w:p>
    <w:p w:rsidR="007A04AE" w:rsidRPr="00E7219F" w:rsidRDefault="007A04AE" w:rsidP="007A04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9F">
        <w:rPr>
          <w:rFonts w:ascii="Times New Roman" w:hAnsi="Times New Roman" w:cs="Times New Roman"/>
          <w:b/>
          <w:sz w:val="28"/>
          <w:szCs w:val="28"/>
        </w:rPr>
        <w:t>деятельности кабинета врача-гастроэнтеролога детского</w:t>
      </w:r>
    </w:p>
    <w:p w:rsidR="007A04AE" w:rsidRPr="00BF40AC" w:rsidRDefault="007A04AE" w:rsidP="007A04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устанавливае</w:t>
      </w:r>
      <w:r w:rsidRPr="007128E9">
        <w:rPr>
          <w:rFonts w:ascii="Times New Roman" w:hAnsi="Times New Roman" w:cs="Times New Roman"/>
          <w:sz w:val="28"/>
          <w:szCs w:val="28"/>
        </w:rPr>
        <w:t xml:space="preserve">т порядок организации деятельности кабинета врача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гастроэнтеролог</w:t>
      </w:r>
      <w:r w:rsidRPr="007128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7128E9">
        <w:rPr>
          <w:rFonts w:ascii="Times New Roman" w:hAnsi="Times New Roman" w:cs="Times New Roman"/>
          <w:sz w:val="28"/>
          <w:szCs w:val="28"/>
        </w:rPr>
        <w:t xml:space="preserve">, который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здравоохранения.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 xml:space="preserve">Кабинет врача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гастроэнтеролог</w:t>
      </w:r>
      <w:r w:rsidRPr="007128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7128E9">
        <w:rPr>
          <w:rFonts w:ascii="Times New Roman" w:hAnsi="Times New Roman" w:cs="Times New Roman"/>
          <w:sz w:val="28"/>
          <w:szCs w:val="28"/>
        </w:rPr>
        <w:t xml:space="preserve"> (далее - Кабинет) создается для осуществления консультативной, диагностической и лечебной помощи детям по профилю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7128E9">
        <w:rPr>
          <w:rFonts w:ascii="Times New Roman" w:hAnsi="Times New Roman" w:cs="Times New Roman"/>
          <w:sz w:val="28"/>
          <w:szCs w:val="28"/>
        </w:rPr>
        <w:t>етская га</w:t>
      </w:r>
      <w:r>
        <w:rPr>
          <w:rFonts w:ascii="Times New Roman" w:hAnsi="Times New Roman" w:cs="Times New Roman"/>
          <w:sz w:val="28"/>
          <w:szCs w:val="28"/>
        </w:rPr>
        <w:t xml:space="preserve">строэнтерология» 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 xml:space="preserve">На должность врача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28E9">
        <w:rPr>
          <w:rFonts w:ascii="Times New Roman" w:hAnsi="Times New Roman" w:cs="Times New Roman"/>
          <w:sz w:val="28"/>
          <w:szCs w:val="28"/>
        </w:rPr>
        <w:t xml:space="preserve"> гастроэнтеролога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7128E9">
        <w:rPr>
          <w:rFonts w:ascii="Times New Roman" w:hAnsi="Times New Roman" w:cs="Times New Roman"/>
          <w:sz w:val="28"/>
          <w:szCs w:val="28"/>
        </w:rPr>
        <w:t xml:space="preserve">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действующим квалификационным требованиям по специальности «Детская гастроэнетерология».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28E9">
        <w:rPr>
          <w:rFonts w:ascii="Times New Roman" w:hAnsi="Times New Roman" w:cs="Times New Roman"/>
          <w:sz w:val="28"/>
          <w:szCs w:val="28"/>
        </w:rPr>
        <w:t>. Кабинет осуществляет следующие функции: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8E9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детям;</w:t>
      </w: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128E9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-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  <w:r w:rsidRPr="007128E9">
        <w:rPr>
          <w:rFonts w:ascii="Times New Roman" w:hAnsi="Times New Roman" w:cs="Times New Roman"/>
          <w:sz w:val="28"/>
          <w:szCs w:val="28"/>
        </w:rPr>
        <w:t>для проведения консультаций врачами-специалистами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128E9">
        <w:rPr>
          <w:rFonts w:ascii="Times New Roman" w:hAnsi="Times New Roman" w:cs="Times New Roman"/>
          <w:sz w:val="28"/>
          <w:szCs w:val="28"/>
        </w:rPr>
        <w:t>диспансерное наблюдение детей;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128E9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пищеварительной системы у детей и формированию здорового образа жизни;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128E9">
        <w:rPr>
          <w:rFonts w:ascii="Times New Roman" w:hAnsi="Times New Roman" w:cs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7128E9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7A04AE" w:rsidRPr="002365FC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7128E9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 и представление отчетов о деятельности Кабинета.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12">
        <w:rPr>
          <w:rFonts w:ascii="Times New Roman" w:hAnsi="Times New Roman" w:cs="Times New Roman"/>
          <w:sz w:val="28"/>
          <w:szCs w:val="28"/>
        </w:rPr>
        <w:t>5.</w:t>
      </w:r>
      <w:r w:rsidRPr="007128E9">
        <w:rPr>
          <w:rFonts w:ascii="Times New Roman" w:hAnsi="Times New Roman" w:cs="Times New Roman"/>
          <w:sz w:val="28"/>
          <w:szCs w:val="28"/>
        </w:rPr>
        <w:t xml:space="preserve"> В структуре Кабинета рекомендуется предусматривать:</w:t>
      </w:r>
    </w:p>
    <w:p w:rsidR="007A04AE" w:rsidRPr="007128E9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128E9">
        <w:rPr>
          <w:rFonts w:ascii="Times New Roman" w:hAnsi="Times New Roman" w:cs="Times New Roman"/>
          <w:sz w:val="28"/>
          <w:szCs w:val="28"/>
        </w:rPr>
        <w:t>помещение для приема детей;</w:t>
      </w: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7128E9">
        <w:rPr>
          <w:rFonts w:ascii="Times New Roman" w:hAnsi="Times New Roman" w:cs="Times New Roman"/>
          <w:sz w:val="28"/>
          <w:szCs w:val="28"/>
        </w:rPr>
        <w:t>помещение для выполнения диагностических исследований, входящих в функции Кабинета.</w:t>
      </w: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Default="007A04AE" w:rsidP="007A04AE">
      <w:pPr>
        <w:pStyle w:val="ConsPlusNormal"/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Pr="007128E9" w:rsidRDefault="007A04AE" w:rsidP="007A04AE">
      <w:pPr>
        <w:pStyle w:val="ConsPlusNormal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7A04AE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AE" w:rsidRPr="007128E9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2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28E9">
        <w:rPr>
          <w:rFonts w:ascii="Times New Roman" w:hAnsi="Times New Roman" w:cs="Times New Roman"/>
          <w:sz w:val="28"/>
          <w:szCs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Pr="007128E9">
        <w:rPr>
          <w:rFonts w:ascii="Times New Roman" w:hAnsi="Times New Roman" w:cs="Times New Roman"/>
          <w:sz w:val="28"/>
          <w:szCs w:val="28"/>
        </w:rPr>
        <w:t>, в составе которой он создан.</w:t>
      </w:r>
      <w:bookmarkStart w:id="0" w:name="Par118"/>
      <w:bookmarkEnd w:id="0"/>
    </w:p>
    <w:p w:rsidR="007A04AE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Рекомендуемые штатные нормативы детского гастроэнтерологического кабинета учреждения здравоохранения: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3058"/>
        <w:gridCol w:w="2561"/>
        <w:gridCol w:w="3118"/>
      </w:tblGrid>
      <w:tr w:rsidR="007A04AE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</w:tcPr>
          <w:p w:rsidR="007A04AE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2561" w:type="dxa"/>
          </w:tcPr>
          <w:p w:rsidR="007A04AE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7A04AE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должности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Merge w:val="restart"/>
          </w:tcPr>
          <w:p w:rsidR="007A04AE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Р</w:t>
            </w:r>
            <w:r w:rsidRPr="002365F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2365FC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(третичная медицинская помощь)</w:t>
            </w: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 детский (консультант)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vMerge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штатную единицу врача-гастроэнтеролога детского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vMerge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врачей, ведущих консультативный прием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vMerge w:val="restart"/>
          </w:tcPr>
          <w:p w:rsidR="007A04AE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городской больницы, городской детской больницы, центральной районной больницы, центральной городской больницы</w:t>
            </w:r>
          </w:p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(вторичная медицинская помощь)</w:t>
            </w: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 детский (консультант)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на 10000 детского населения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vMerge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1 штатную единицу врача-гастроэнтеролога детского</w:t>
            </w:r>
          </w:p>
        </w:tc>
      </w:tr>
      <w:tr w:rsidR="007A04AE" w:rsidRPr="002365FC" w:rsidTr="009D0943">
        <w:tc>
          <w:tcPr>
            <w:tcW w:w="585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vMerge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118" w:type="dxa"/>
          </w:tcPr>
          <w:p w:rsidR="007A04AE" w:rsidRPr="002365FC" w:rsidRDefault="007A04AE" w:rsidP="009D094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врачей, ведущих консультативный прием</w:t>
            </w:r>
          </w:p>
        </w:tc>
      </w:tr>
    </w:tbl>
    <w:p w:rsidR="007A04AE" w:rsidRPr="003A25FA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FA"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 -  гастроэнтеролога детского не распространяются на учреждения здравоохранения частной системы здравоохранения.</w:t>
      </w:r>
    </w:p>
    <w:p w:rsidR="007A04AE" w:rsidRPr="003A25FA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FA">
        <w:rPr>
          <w:rFonts w:ascii="Times New Roman" w:hAnsi="Times New Roman" w:cs="Times New Roman"/>
          <w:sz w:val="28"/>
          <w:szCs w:val="28"/>
        </w:rPr>
        <w:t>Для районов с низкой плотностью населения и ограниченной транспортной доступностью учреждений здравоохранения количество штатных единиц кабинета врача - гастроэнтеролога детского устанавливается исходя из меньшей численности детей.</w:t>
      </w:r>
    </w:p>
    <w:p w:rsidR="007A04AE" w:rsidRDefault="007A04AE" w:rsidP="007A04A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4AE" w:rsidRDefault="007A04AE" w:rsidP="007A04AE">
      <w:pPr>
        <w:pStyle w:val="ConsPlusNormal"/>
        <w:tabs>
          <w:tab w:val="left" w:pos="7088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6F30">
        <w:rPr>
          <w:rFonts w:ascii="Times New Roman" w:hAnsi="Times New Roman" w:cs="Times New Roman"/>
          <w:sz w:val="28"/>
          <w:szCs w:val="28"/>
        </w:rPr>
        <w:t>. Примерный табель материально-технического оснащения детского гастроэнтерологического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Pr="00E06F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5610"/>
        <w:gridCol w:w="2970"/>
      </w:tblGrid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Пеленальный стол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Шкаф двухсекционный для одежды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04AE" w:rsidRDefault="007A04AE" w:rsidP="007A04AE">
      <w:r>
        <w:br w:type="page"/>
      </w:r>
    </w:p>
    <w:p w:rsidR="007A04AE" w:rsidRPr="00E06F30" w:rsidRDefault="007A04AE" w:rsidP="007A04AE">
      <w:pPr>
        <w:jc w:val="right"/>
        <w:rPr>
          <w:rFonts w:ascii="Times New Roman" w:hAnsi="Times New Roman" w:cs="Times New Roman"/>
          <w:sz w:val="28"/>
          <w:szCs w:val="28"/>
        </w:rPr>
      </w:pPr>
      <w:r w:rsidRPr="00E06F3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tbl>
      <w:tblPr>
        <w:tblW w:w="92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5610"/>
        <w:gridCol w:w="2970"/>
      </w:tblGrid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 рециркуляторного типа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выходом в Интернет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2 на 7 рабочих дней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чистых и грязных шпателей либо одноразовые шпатели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 xml:space="preserve"> 6 в день </w:t>
            </w:r>
          </w:p>
        </w:tc>
      </w:tr>
      <w:tr w:rsidR="007A04AE" w:rsidRPr="00881FC2" w:rsidTr="009D094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Набор стерильных перчаток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E" w:rsidRPr="00881FC2" w:rsidRDefault="007A04AE" w:rsidP="009D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sz w:val="24"/>
                <w:szCs w:val="24"/>
              </w:rPr>
              <w:t>1 на 15 рабочих дней</w:t>
            </w:r>
          </w:p>
        </w:tc>
      </w:tr>
    </w:tbl>
    <w:p w:rsidR="007A04AE" w:rsidRDefault="007A04AE" w:rsidP="007A04AE"/>
    <w:p w:rsidR="007A04AE" w:rsidRDefault="007A04AE" w:rsidP="007A04AE"/>
    <w:p w:rsidR="007A04AE" w:rsidRDefault="007A04AE" w:rsidP="007A04AE"/>
    <w:p w:rsidR="007A04AE" w:rsidRDefault="007A04AE" w:rsidP="007A04AE"/>
    <w:p w:rsidR="007A04AE" w:rsidRDefault="007A04AE" w:rsidP="007A04AE"/>
    <w:p w:rsidR="00EE34F6" w:rsidRDefault="007A04AE">
      <w:bookmarkStart w:id="1" w:name="_GoBack"/>
      <w:bookmarkEnd w:id="1"/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E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7A04AE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3861-48E4-4B33-851B-853F0E92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7A04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2017-09-14T08:14:00Z</dcterms:created>
  <dcterms:modified xsi:type="dcterms:W3CDTF">2017-09-14T08:15:00Z</dcterms:modified>
</cp:coreProperties>
</file>