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6B" w:rsidRPr="00FE45E4" w:rsidRDefault="00C8556B" w:rsidP="00B648DB">
      <w:pPr>
        <w:widowControl w:val="0"/>
        <w:spacing w:after="0" w:line="240" w:lineRule="auto"/>
        <w:ind w:left="5897" w:firstLine="475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D3672B">
        <w:rPr>
          <w:rFonts w:ascii="Times New Roman" w:hAnsi="Times New Roman"/>
          <w:sz w:val="28"/>
        </w:rPr>
        <w:t>1</w:t>
      </w:r>
      <w:r w:rsidR="000756EE">
        <w:rPr>
          <w:rFonts w:ascii="Times New Roman" w:hAnsi="Times New Roman"/>
          <w:sz w:val="28"/>
        </w:rPr>
        <w:t>6</w:t>
      </w:r>
    </w:p>
    <w:p w:rsidR="00C8556B" w:rsidRPr="00FE45E4" w:rsidRDefault="00C8556B" w:rsidP="00B648DB">
      <w:pPr>
        <w:widowControl w:val="0"/>
        <w:spacing w:after="0" w:line="240" w:lineRule="auto"/>
        <w:ind w:left="6372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B648DB">
      <w:pPr>
        <w:widowControl w:val="0"/>
        <w:spacing w:after="0" w:line="240" w:lineRule="auto"/>
        <w:ind w:left="5897" w:firstLine="47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0756EE" w:rsidRDefault="000756EE" w:rsidP="00B648DB">
      <w:pPr>
        <w:widowControl w:val="0"/>
        <w:spacing w:after="0" w:line="240" w:lineRule="auto"/>
        <w:ind w:left="5897" w:firstLine="475"/>
        <w:rPr>
          <w:rFonts w:ascii="Times New Roman" w:hAnsi="Times New Roman"/>
          <w:sz w:val="28"/>
        </w:rPr>
      </w:pPr>
    </w:p>
    <w:p w:rsidR="000756EE" w:rsidRPr="00480FC4" w:rsidRDefault="000756EE" w:rsidP="000756EE">
      <w:pPr>
        <w:pStyle w:val="a9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-720" w:right="0" w:firstLine="720"/>
        <w:rPr>
          <w:rFonts w:ascii="Times New Roman" w:hAnsi="Times New Roman"/>
          <w:sz w:val="28"/>
          <w:szCs w:val="28"/>
          <w:lang w:val="ru-RU"/>
        </w:rPr>
      </w:pPr>
      <w:r w:rsidRPr="00480FC4">
        <w:rPr>
          <w:rFonts w:ascii="Times New Roman" w:hAnsi="Times New Roman"/>
          <w:sz w:val="28"/>
          <w:szCs w:val="28"/>
          <w:lang w:val="ru-RU"/>
        </w:rPr>
        <w:t>ИНСТРУКЦИЯ</w:t>
      </w:r>
    </w:p>
    <w:p w:rsidR="000756EE" w:rsidRPr="00480FC4" w:rsidRDefault="000756EE" w:rsidP="000756EE">
      <w:pPr>
        <w:pStyle w:val="a9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-720" w:right="0" w:firstLine="720"/>
        <w:rPr>
          <w:rFonts w:ascii="Times New Roman" w:hAnsi="Times New Roman"/>
          <w:sz w:val="28"/>
          <w:szCs w:val="28"/>
          <w:lang w:val="ru-RU"/>
        </w:rPr>
      </w:pPr>
      <w:r w:rsidRPr="00480FC4">
        <w:rPr>
          <w:rFonts w:ascii="Times New Roman" w:hAnsi="Times New Roman"/>
          <w:sz w:val="28"/>
          <w:szCs w:val="28"/>
          <w:lang w:val="ru-RU"/>
        </w:rPr>
        <w:t xml:space="preserve">по заполнению формы первичной учетной документации № 066/у </w:t>
      </w:r>
    </w:p>
    <w:p w:rsidR="000756EE" w:rsidRPr="00480FC4" w:rsidRDefault="000756EE" w:rsidP="000756EE">
      <w:pPr>
        <w:pStyle w:val="a9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-720" w:right="0" w:firstLine="720"/>
        <w:rPr>
          <w:rFonts w:ascii="Times New Roman" w:hAnsi="Times New Roman"/>
          <w:sz w:val="28"/>
          <w:szCs w:val="28"/>
          <w:lang w:val="ru-RU"/>
        </w:rPr>
      </w:pPr>
      <w:r w:rsidRPr="00480FC4">
        <w:rPr>
          <w:rFonts w:ascii="Times New Roman" w:hAnsi="Times New Roman"/>
          <w:sz w:val="28"/>
          <w:szCs w:val="28"/>
          <w:lang w:val="ru-RU"/>
        </w:rPr>
        <w:t>«Карта больного, выбывшего из стационара № ______»</w:t>
      </w:r>
    </w:p>
    <w:p w:rsidR="000756EE" w:rsidRPr="00FB2B86" w:rsidRDefault="000756EE" w:rsidP="000756EE">
      <w:pPr>
        <w:pStyle w:val="a9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-720" w:right="0" w:firstLine="72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480FC4">
        <w:rPr>
          <w:rFonts w:ascii="Times New Roman" w:hAnsi="Times New Roman"/>
          <w:bCs/>
          <w:sz w:val="28"/>
          <w:szCs w:val="28"/>
          <w:lang w:val="ru-RU"/>
        </w:rPr>
        <w:t>1.</w:t>
      </w:r>
      <w:r w:rsidRPr="00480FC4">
        <w:rPr>
          <w:rFonts w:ascii="Times New Roman" w:hAnsi="Times New Roman"/>
          <w:b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Данная </w:t>
      </w:r>
      <w:r w:rsidRPr="00480FC4">
        <w:rPr>
          <w:rFonts w:ascii="Times New Roman" w:hAnsi="Times New Roman"/>
          <w:sz w:val="28"/>
          <w:szCs w:val="28"/>
          <w:lang w:val="ru-RU"/>
        </w:rPr>
        <w:t>Инструкция определяет порядок заполнения формы первичной статистической учетной документации № 066/у «Карта больного, выбывшего из стационара №___» (далее – форма № 066/у).</w:t>
      </w:r>
    </w:p>
    <w:p w:rsidR="000756EE" w:rsidRPr="00FB2B86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567"/>
        <w:rPr>
          <w:rFonts w:ascii="Times New Roman" w:hAnsi="Times New Roman"/>
          <w:szCs w:val="22"/>
          <w:lang w:val="ru-RU"/>
        </w:rPr>
      </w:pP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 w:rsidRPr="00480FC4">
        <w:rPr>
          <w:rFonts w:ascii="Times New Roman" w:hAnsi="Times New Roman"/>
          <w:b/>
          <w:sz w:val="28"/>
          <w:szCs w:val="28"/>
          <w:lang w:val="ru-RU"/>
        </w:rPr>
        <w:t> </w:t>
      </w:r>
      <w:proofErr w:type="gramStart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Форма № 066/у составляется на основании форм первичной учетной документации № 003/у «Медицинская карта стационарного больного» (далее – форма № 003/у), № 003-1/у «Медицинская карта прерывания беременности» (далее – форма № 003-1/у), № 096/у «История родов» (далее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 xml:space="preserve"> форма № 096/у), № 097/у «Карта развит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ия новорожденного» </w:t>
      </w: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(далее – форма № 097/у), и является документом, содержащим сведения о больном (выписанном или умершем), который выбыл из</w:t>
      </w:r>
      <w:proofErr w:type="gramEnd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стационара.</w:t>
      </w:r>
    </w:p>
    <w:p w:rsidR="000756EE" w:rsidRPr="00FB2B86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567"/>
        <w:rPr>
          <w:rFonts w:ascii="Times New Roman" w:hAnsi="Times New Roman"/>
          <w:color w:val="000000"/>
          <w:szCs w:val="22"/>
          <w:lang w:val="ru-RU"/>
        </w:rPr>
      </w:pP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3.</w:t>
      </w:r>
      <w:r w:rsidRPr="00480FC4">
        <w:rPr>
          <w:rFonts w:ascii="Times New Roman" w:hAnsi="Times New Roman"/>
          <w:b/>
          <w:sz w:val="28"/>
          <w:szCs w:val="28"/>
          <w:lang w:val="ru-RU"/>
        </w:rPr>
        <w:t> </w:t>
      </w: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В форме № 066/</w:t>
      </w:r>
      <w:proofErr w:type="gramStart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proofErr w:type="gramEnd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обязательно заполняются все пункты. Исключением являются пункт 32, заполняющийся в случае смерти госпитализированного лица, пункты 2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 xml:space="preserve"> страховой полис, 3 – вид оплаты и графы 8, 9, 10 пункта 30 – движение пациента по отделениям заполняются после введения в Донецкой Народной Республике системы обязательного медицинского страхования.</w:t>
      </w:r>
    </w:p>
    <w:p w:rsidR="000756EE" w:rsidRPr="00FB2B86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567"/>
        <w:rPr>
          <w:rFonts w:ascii="Times New Roman" w:hAnsi="Times New Roman"/>
          <w:color w:val="000000"/>
          <w:szCs w:val="22"/>
          <w:lang w:val="ru-RU"/>
        </w:rPr>
      </w:pP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4.</w:t>
      </w:r>
      <w:r w:rsidRPr="00480FC4">
        <w:rPr>
          <w:rFonts w:ascii="Times New Roman" w:hAnsi="Times New Roman"/>
          <w:b/>
          <w:sz w:val="28"/>
          <w:szCs w:val="28"/>
          <w:lang w:val="ru-RU"/>
        </w:rPr>
        <w:t> </w:t>
      </w: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 xml:space="preserve">п.1 Код пациента – это идентификационный номер пациента или иной код, принятый в ЛПУ. </w:t>
      </w:r>
    </w:p>
    <w:p w:rsidR="000756EE" w:rsidRPr="00FB2B86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567"/>
        <w:rPr>
          <w:rFonts w:ascii="Times New Roman" w:hAnsi="Times New Roman"/>
          <w:color w:val="000000"/>
          <w:szCs w:val="22"/>
          <w:lang w:val="ru-RU"/>
        </w:rPr>
      </w:pP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5.</w:t>
      </w:r>
      <w:r w:rsidRPr="00480FC4">
        <w:rPr>
          <w:rFonts w:ascii="Times New Roman" w:hAnsi="Times New Roman"/>
          <w:b/>
          <w:sz w:val="28"/>
          <w:szCs w:val="28"/>
          <w:lang w:val="ru-RU"/>
        </w:rPr>
        <w:t> </w:t>
      </w: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п.2. Страховой полис. Если вид оплаты – медицинское страхование, то записываются реквизиты страхового полиса и страховщика (страховая компания, территориальный фонд ОМС, филиал ТФОМС) с обязательным указанием кода территории, на которой располагается страховщик по действующему классификатору.</w:t>
      </w:r>
    </w:p>
    <w:p w:rsidR="000756EE" w:rsidRPr="00FB2B86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567"/>
        <w:rPr>
          <w:rFonts w:ascii="Times New Roman" w:hAnsi="Times New Roman"/>
          <w:color w:val="000000"/>
          <w:szCs w:val="22"/>
          <w:lang w:val="ru-RU"/>
        </w:rPr>
      </w:pP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6.</w:t>
      </w:r>
      <w:r w:rsidRPr="00480FC4">
        <w:rPr>
          <w:rFonts w:ascii="Times New Roman" w:hAnsi="Times New Roman"/>
          <w:b/>
          <w:sz w:val="28"/>
          <w:szCs w:val="28"/>
          <w:lang w:val="ru-RU"/>
        </w:rPr>
        <w:t> </w:t>
      </w: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 xml:space="preserve">п.3. Вид оплаты: ОМС – 1, бюджет – 2, платные услуги – 3, в т.ч. ДМС – 4, </w:t>
      </w:r>
      <w:proofErr w:type="gramStart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другое</w:t>
      </w:r>
      <w:proofErr w:type="gramEnd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 xml:space="preserve"> – 5, подчеркивается или обводится в кружок соответствующий реквизит.</w:t>
      </w:r>
    </w:p>
    <w:p w:rsidR="000756EE" w:rsidRPr="00FB2B86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567"/>
        <w:rPr>
          <w:rFonts w:ascii="Times New Roman" w:hAnsi="Times New Roman"/>
          <w:color w:val="000000"/>
          <w:szCs w:val="22"/>
          <w:lang w:val="ru-RU"/>
        </w:rPr>
      </w:pP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7.</w:t>
      </w:r>
      <w:r w:rsidRPr="00480FC4">
        <w:rPr>
          <w:rFonts w:ascii="Times New Roman" w:hAnsi="Times New Roman"/>
          <w:b/>
          <w:sz w:val="28"/>
          <w:szCs w:val="28"/>
          <w:lang w:val="ru-RU"/>
        </w:rPr>
        <w:t> </w:t>
      </w: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 xml:space="preserve">п.13.Социальный статус отмечается путем обведения в кружок соответствующей позиции и внесения цифры в соответствующую ячейку. </w:t>
      </w:r>
    </w:p>
    <w:p w:rsidR="000756EE" w:rsidRPr="00FB2B86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567"/>
        <w:rPr>
          <w:rFonts w:ascii="Times New Roman" w:hAnsi="Times New Roman"/>
          <w:color w:val="000000"/>
          <w:szCs w:val="22"/>
          <w:lang w:val="ru-RU"/>
        </w:rPr>
      </w:pP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8.</w:t>
      </w:r>
      <w:r w:rsidRPr="00480FC4">
        <w:rPr>
          <w:rFonts w:ascii="Times New Roman" w:hAnsi="Times New Roman"/>
          <w:b/>
          <w:sz w:val="28"/>
          <w:szCs w:val="28"/>
          <w:lang w:val="ru-RU"/>
        </w:rPr>
        <w:t> </w:t>
      </w: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п.15. Категория льгот. Заполняется для пациентов, относящихся к категории населения, имеющей право на льготное обеспечение лекарственными препаратами и изделиями медицинского назначения: отмечается соответствующая позиция.</w:t>
      </w:r>
    </w:p>
    <w:p w:rsidR="000756EE" w:rsidRPr="00FB2B86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567"/>
        <w:rPr>
          <w:rFonts w:ascii="Times New Roman" w:hAnsi="Times New Roman"/>
          <w:color w:val="000000"/>
          <w:szCs w:val="22"/>
          <w:lang w:val="ru-RU"/>
        </w:rPr>
      </w:pPr>
    </w:p>
    <w:p w:rsidR="000756EE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9.</w:t>
      </w:r>
      <w:r w:rsidRPr="00480FC4">
        <w:rPr>
          <w:rFonts w:ascii="Times New Roman" w:hAnsi="Times New Roman"/>
          <w:b/>
          <w:sz w:val="28"/>
          <w:szCs w:val="28"/>
          <w:lang w:val="ru-RU"/>
        </w:rPr>
        <w:t> </w:t>
      </w:r>
      <w:proofErr w:type="gramStart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 xml:space="preserve">Пункты 1-8 формы № 066/у заполняются медицинской сестрой приемного отделения одновременно с заполнением формы № 003/у, или № 003-1/у, или № 096/у, после чего форма № 066/у вкладывается в одну из отмеченных выше форм и хранится в отделении до выписки больного из стационара или смерти больного. </w:t>
      </w:r>
      <w:proofErr w:type="gramEnd"/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567"/>
        <w:jc w:val="center"/>
        <w:rPr>
          <w:rFonts w:ascii="Times New Roman" w:hAnsi="Times New Roman"/>
          <w:color w:val="000000"/>
          <w:szCs w:val="22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br w:type="page"/>
      </w:r>
      <w:r w:rsidRPr="00480FC4">
        <w:rPr>
          <w:rFonts w:ascii="Times New Roman" w:hAnsi="Times New Roman"/>
          <w:color w:val="000000"/>
          <w:szCs w:val="22"/>
          <w:lang w:val="ru-RU"/>
        </w:rPr>
        <w:lastRenderedPageBreak/>
        <w:t>2</w:t>
      </w: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567"/>
        <w:jc w:val="center"/>
        <w:rPr>
          <w:rFonts w:ascii="Times New Roman" w:hAnsi="Times New Roman"/>
          <w:color w:val="000000"/>
          <w:szCs w:val="22"/>
          <w:lang w:val="ru-RU"/>
        </w:rPr>
      </w:pP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567"/>
        <w:rPr>
          <w:rFonts w:ascii="Times New Roman" w:hAnsi="Times New Roman"/>
          <w:color w:val="000000"/>
          <w:szCs w:val="22"/>
          <w:lang w:val="ru-RU"/>
        </w:rPr>
      </w:pPr>
      <w:r>
        <w:rPr>
          <w:rFonts w:ascii="Times New Roman" w:hAnsi="Times New Roman"/>
          <w:color w:val="000000"/>
          <w:szCs w:val="22"/>
          <w:lang w:val="ru-RU"/>
        </w:rPr>
        <w:tab/>
      </w:r>
      <w:r>
        <w:rPr>
          <w:rFonts w:ascii="Times New Roman" w:hAnsi="Times New Roman"/>
          <w:color w:val="000000"/>
          <w:szCs w:val="22"/>
          <w:lang w:val="ru-RU"/>
        </w:rPr>
        <w:tab/>
      </w:r>
      <w:r>
        <w:rPr>
          <w:rFonts w:ascii="Times New Roman" w:hAnsi="Times New Roman"/>
          <w:color w:val="000000"/>
          <w:szCs w:val="22"/>
          <w:lang w:val="ru-RU"/>
        </w:rPr>
        <w:tab/>
      </w:r>
      <w:r>
        <w:rPr>
          <w:rFonts w:ascii="Times New Roman" w:hAnsi="Times New Roman"/>
          <w:color w:val="000000"/>
          <w:szCs w:val="22"/>
          <w:lang w:val="ru-RU"/>
        </w:rPr>
        <w:tab/>
      </w:r>
      <w:r>
        <w:rPr>
          <w:rFonts w:ascii="Times New Roman" w:hAnsi="Times New Roman"/>
          <w:color w:val="000000"/>
          <w:szCs w:val="22"/>
          <w:lang w:val="ru-RU"/>
        </w:rPr>
        <w:tab/>
      </w:r>
      <w:r>
        <w:rPr>
          <w:rFonts w:ascii="Times New Roman" w:hAnsi="Times New Roman"/>
          <w:color w:val="000000"/>
          <w:szCs w:val="22"/>
          <w:lang w:val="ru-RU"/>
        </w:rPr>
        <w:tab/>
      </w:r>
      <w:r>
        <w:rPr>
          <w:rFonts w:ascii="Times New Roman" w:hAnsi="Times New Roman"/>
          <w:color w:val="000000"/>
          <w:szCs w:val="22"/>
          <w:lang w:val="ru-RU"/>
        </w:rPr>
        <w:tab/>
      </w:r>
      <w:r>
        <w:rPr>
          <w:rFonts w:ascii="Times New Roman" w:hAnsi="Times New Roman"/>
          <w:color w:val="000000"/>
          <w:szCs w:val="22"/>
          <w:lang w:val="ru-RU"/>
        </w:rPr>
        <w:tab/>
      </w:r>
      <w:r>
        <w:rPr>
          <w:rFonts w:ascii="Times New Roman" w:hAnsi="Times New Roman"/>
          <w:color w:val="000000"/>
          <w:szCs w:val="22"/>
          <w:lang w:val="ru-RU"/>
        </w:rPr>
        <w:tab/>
      </w:r>
      <w:r>
        <w:rPr>
          <w:rFonts w:ascii="Times New Roman" w:hAnsi="Times New Roman"/>
          <w:color w:val="000000"/>
          <w:szCs w:val="22"/>
          <w:lang w:val="ru-RU"/>
        </w:rPr>
        <w:tab/>
      </w:r>
      <w:r w:rsidRPr="00480FC4">
        <w:rPr>
          <w:rFonts w:ascii="Times New Roman" w:hAnsi="Times New Roman"/>
          <w:color w:val="000000"/>
          <w:szCs w:val="22"/>
          <w:lang w:val="ru-RU"/>
        </w:rPr>
        <w:t xml:space="preserve">Продолжение приложения </w:t>
      </w:r>
      <w:r>
        <w:rPr>
          <w:rFonts w:ascii="Times New Roman" w:hAnsi="Times New Roman"/>
          <w:color w:val="000000"/>
          <w:szCs w:val="22"/>
          <w:lang w:val="ru-RU"/>
        </w:rPr>
        <w:t>16</w:t>
      </w: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right="99"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Форма № 066/</w:t>
      </w:r>
      <w:proofErr w:type="gramStart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proofErr w:type="gramEnd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proofErr w:type="gramEnd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 xml:space="preserve"> новорожденного заполняется в родильном отделении больницы одновременно с картой развития новорожденного – учетной формой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</w:t>
      </w: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№ 097/у (на всех новорожденных, родившихся больными, заболевших, или умерших).</w:t>
      </w: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right="99"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right="99"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10.</w:t>
      </w:r>
      <w:r w:rsidRPr="00480FC4">
        <w:rPr>
          <w:rFonts w:ascii="Times New Roman" w:hAnsi="Times New Roman"/>
          <w:b/>
          <w:sz w:val="28"/>
          <w:szCs w:val="28"/>
          <w:lang w:val="ru-RU"/>
        </w:rPr>
        <w:t> </w:t>
      </w: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Форма № 066/</w:t>
      </w:r>
      <w:proofErr w:type="gramStart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proofErr w:type="gramEnd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заполняется </w:t>
      </w:r>
      <w:proofErr w:type="gramStart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лечащим</w:t>
      </w:r>
      <w:proofErr w:type="gramEnd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 xml:space="preserve"> врачом одновременно с записью эпикриза в первичной учетной документации, указанной в пункте 2 этой Инструкции, на всех больных, которые выбыли из стационара (выписанных или умерших), в том числе и на родильниц, которые выписаны после нормальных родов. </w:t>
      </w: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right="99"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56EE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right="99"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11.</w:t>
      </w:r>
      <w:r w:rsidRPr="00480FC4">
        <w:rPr>
          <w:rFonts w:ascii="Times New Roman" w:hAnsi="Times New Roman"/>
          <w:b/>
          <w:sz w:val="28"/>
          <w:szCs w:val="28"/>
          <w:lang w:val="ru-RU"/>
        </w:rPr>
        <w:t> </w:t>
      </w:r>
      <w:proofErr w:type="gramStart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 xml:space="preserve">В форме № 066/у указываются название отделения госпитализации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(пункт 20), экстренность госпитализации (пункт 23), сроки госпитализации (пункт 24),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госпитализация по поводу данного заболевания в текущем году: 1 – впервые, 2 – повторно, 3 – повторно до 30 дней с момента выписки после предыдущей госпитализации по поводу одного и того же заболевания (пункт 25), </w:t>
      </w: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 xml:space="preserve">результат лечения (пункт 27). </w:t>
      </w:r>
      <w:proofErr w:type="gramEnd"/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right="99"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right="99"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12.</w:t>
      </w:r>
      <w:r w:rsidRPr="00480FC4">
        <w:rPr>
          <w:rFonts w:ascii="Times New Roman" w:hAnsi="Times New Roman"/>
          <w:b/>
          <w:sz w:val="28"/>
          <w:szCs w:val="28"/>
          <w:lang w:val="ru-RU"/>
        </w:rPr>
        <w:t> </w:t>
      </w: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В пункте 28 отмечается дата выписки больного из стационара, а в случае его смерти – дата смерти.</w:t>
      </w: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right="99"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right="99"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13.</w:t>
      </w:r>
      <w:r w:rsidRPr="00480FC4">
        <w:rPr>
          <w:rFonts w:ascii="Times New Roman" w:hAnsi="Times New Roman"/>
          <w:b/>
          <w:sz w:val="28"/>
          <w:szCs w:val="28"/>
          <w:lang w:val="ru-RU"/>
        </w:rPr>
        <w:t> </w:t>
      </w: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При переводе больного из одного отделения 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другое этой же больницы форма </w:t>
      </w: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№ 066/</w:t>
      </w:r>
      <w:proofErr w:type="gramStart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proofErr w:type="gramEnd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заполняется </w:t>
      </w:r>
      <w:proofErr w:type="gramStart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proofErr w:type="gramEnd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 xml:space="preserve"> отделении, из которого больной выбыл.</w:t>
      </w: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right="99"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right="99"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14.</w:t>
      </w:r>
      <w:r w:rsidRPr="00480FC4">
        <w:rPr>
          <w:rFonts w:ascii="Times New Roman" w:hAnsi="Times New Roman"/>
          <w:b/>
          <w:sz w:val="28"/>
          <w:szCs w:val="28"/>
          <w:lang w:val="ru-RU"/>
        </w:rPr>
        <w:t> </w:t>
      </w: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В форме № 066/</w:t>
      </w:r>
      <w:proofErr w:type="gramStart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proofErr w:type="gramEnd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proofErr w:type="gramEnd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 xml:space="preserve"> больных, которые находились в стационаре по поводу травм и отравлений, должна быть сделана пометка (пункт 26) относительно вида травмы: производственная, бытовая, уличная, дорожно-транспортная, школьная, спортивная и тому подобное. </w:t>
      </w: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right="99"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right="99"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15.</w:t>
      </w:r>
      <w:r w:rsidRPr="00480FC4">
        <w:rPr>
          <w:rFonts w:ascii="Times New Roman" w:hAnsi="Times New Roman"/>
          <w:b/>
          <w:sz w:val="28"/>
          <w:szCs w:val="28"/>
          <w:lang w:val="ru-RU"/>
        </w:rPr>
        <w:t> </w:t>
      </w: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При наличии у больного побочного действия лекарственного средства лечащий врач отмечает это в пункте 31 формы № 066/</w:t>
      </w:r>
      <w:proofErr w:type="gramStart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proofErr w:type="gramEnd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проявление</w:t>
      </w:r>
      <w:proofErr w:type="gramEnd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побочного действия как «основной диагноз», или «осложнения», или «сопутствующие заболевания» и подчеркивает их красным цветом.</w:t>
      </w:r>
    </w:p>
    <w:p w:rsidR="000756EE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right="99"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В таких случаях лечащим врачом или медицинским статистиком проводится двойная кодировка данного пункта согласно Международной статистической классификации болезней и родс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твенных проблем здравоохранения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proofErr w:type="gramEnd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есятого пересмотра (далее – МКБ-10): кодируются основной диагноз и осложнение: диапазон рубрик А00-R95, T80.5.6, Т88.2, Т88.6 и другие, в том числе рубрик Y40 - Y59. В тех случаях, когда в форме № 066/у отмечено несколько диагнозов заболеваний, в форме отчетности № 20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Отчет </w:t>
      </w: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здравоохранения за 20___</w:t>
      </w: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год», заполняется таблица 3220 «Состав больных в стационаре, сроки и результат лечения (количество)», данные о больном будут отмечаться по тому заболеванию, которое было основной причиной госпитализации. Данные о сроках и результате лечения больных, которые переведены в другие стационары, не отмечаются в таблице 3220 «Состав больных в стационаре, сроки и результат лечения (количество)» формы № 20; вносятся в таблицу 3221 формы № 20.</w:t>
      </w:r>
    </w:p>
    <w:p w:rsidR="000756EE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right="99"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567"/>
        <w:jc w:val="center"/>
        <w:rPr>
          <w:rFonts w:ascii="Times New Roman" w:hAnsi="Times New Roman"/>
          <w:color w:val="000000"/>
          <w:szCs w:val="22"/>
          <w:lang w:val="ru-RU"/>
        </w:rPr>
      </w:pPr>
      <w:r>
        <w:rPr>
          <w:rFonts w:ascii="Times New Roman" w:hAnsi="Times New Roman"/>
          <w:color w:val="000000"/>
          <w:szCs w:val="22"/>
          <w:lang w:val="ru-RU"/>
        </w:rPr>
        <w:lastRenderedPageBreak/>
        <w:t>3</w:t>
      </w: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567"/>
        <w:jc w:val="center"/>
        <w:rPr>
          <w:rFonts w:ascii="Times New Roman" w:hAnsi="Times New Roman"/>
          <w:color w:val="000000"/>
          <w:szCs w:val="22"/>
          <w:lang w:val="ru-RU"/>
        </w:rPr>
      </w:pP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567"/>
        <w:rPr>
          <w:rFonts w:ascii="Times New Roman" w:hAnsi="Times New Roman"/>
          <w:color w:val="000000"/>
          <w:szCs w:val="22"/>
          <w:lang w:val="ru-RU"/>
        </w:rPr>
      </w:pPr>
      <w:r>
        <w:rPr>
          <w:rFonts w:ascii="Times New Roman" w:hAnsi="Times New Roman"/>
          <w:color w:val="000000"/>
          <w:szCs w:val="22"/>
          <w:lang w:val="ru-RU"/>
        </w:rPr>
        <w:tab/>
      </w:r>
      <w:r>
        <w:rPr>
          <w:rFonts w:ascii="Times New Roman" w:hAnsi="Times New Roman"/>
          <w:color w:val="000000"/>
          <w:szCs w:val="22"/>
          <w:lang w:val="ru-RU"/>
        </w:rPr>
        <w:tab/>
      </w:r>
      <w:r>
        <w:rPr>
          <w:rFonts w:ascii="Times New Roman" w:hAnsi="Times New Roman"/>
          <w:color w:val="000000"/>
          <w:szCs w:val="22"/>
          <w:lang w:val="ru-RU"/>
        </w:rPr>
        <w:tab/>
      </w:r>
      <w:r>
        <w:rPr>
          <w:rFonts w:ascii="Times New Roman" w:hAnsi="Times New Roman"/>
          <w:color w:val="000000"/>
          <w:szCs w:val="22"/>
          <w:lang w:val="ru-RU"/>
        </w:rPr>
        <w:tab/>
      </w:r>
      <w:r>
        <w:rPr>
          <w:rFonts w:ascii="Times New Roman" w:hAnsi="Times New Roman"/>
          <w:color w:val="000000"/>
          <w:szCs w:val="22"/>
          <w:lang w:val="ru-RU"/>
        </w:rPr>
        <w:tab/>
      </w:r>
      <w:r>
        <w:rPr>
          <w:rFonts w:ascii="Times New Roman" w:hAnsi="Times New Roman"/>
          <w:color w:val="000000"/>
          <w:szCs w:val="22"/>
          <w:lang w:val="ru-RU"/>
        </w:rPr>
        <w:tab/>
      </w:r>
      <w:r>
        <w:rPr>
          <w:rFonts w:ascii="Times New Roman" w:hAnsi="Times New Roman"/>
          <w:color w:val="000000"/>
          <w:szCs w:val="22"/>
          <w:lang w:val="ru-RU"/>
        </w:rPr>
        <w:tab/>
      </w:r>
      <w:r>
        <w:rPr>
          <w:rFonts w:ascii="Times New Roman" w:hAnsi="Times New Roman"/>
          <w:color w:val="000000"/>
          <w:szCs w:val="22"/>
          <w:lang w:val="ru-RU"/>
        </w:rPr>
        <w:tab/>
      </w:r>
      <w:r>
        <w:rPr>
          <w:rFonts w:ascii="Times New Roman" w:hAnsi="Times New Roman"/>
          <w:color w:val="000000"/>
          <w:szCs w:val="22"/>
          <w:lang w:val="ru-RU"/>
        </w:rPr>
        <w:tab/>
      </w:r>
      <w:r>
        <w:rPr>
          <w:rFonts w:ascii="Times New Roman" w:hAnsi="Times New Roman"/>
          <w:color w:val="000000"/>
          <w:szCs w:val="22"/>
          <w:lang w:val="ru-RU"/>
        </w:rPr>
        <w:tab/>
      </w:r>
      <w:r w:rsidRPr="00480FC4">
        <w:rPr>
          <w:rFonts w:ascii="Times New Roman" w:hAnsi="Times New Roman"/>
          <w:color w:val="000000"/>
          <w:szCs w:val="22"/>
          <w:lang w:val="ru-RU"/>
        </w:rPr>
        <w:t xml:space="preserve">Продолжение приложения </w:t>
      </w:r>
      <w:r>
        <w:rPr>
          <w:rFonts w:ascii="Times New Roman" w:hAnsi="Times New Roman"/>
          <w:color w:val="000000"/>
          <w:szCs w:val="22"/>
          <w:lang w:val="ru-RU"/>
        </w:rPr>
        <w:t>16</w:t>
      </w:r>
    </w:p>
    <w:p w:rsidR="000756EE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right="99" w:firstLine="567"/>
        <w:rPr>
          <w:rFonts w:ascii="Times New Roman" w:hAnsi="Times New Roman"/>
          <w:color w:val="000000"/>
          <w:szCs w:val="22"/>
          <w:lang w:val="ru-RU"/>
        </w:rPr>
      </w:pPr>
    </w:p>
    <w:p w:rsidR="000756EE" w:rsidRPr="00480FC4" w:rsidRDefault="000756EE" w:rsidP="000756EE">
      <w:pPr>
        <w:pStyle w:val="a6"/>
        <w:spacing w:before="0" w:after="0" w:line="240" w:lineRule="auto"/>
        <w:ind w:right="99"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16.</w:t>
      </w:r>
      <w:r w:rsidRPr="00480FC4">
        <w:rPr>
          <w:rFonts w:ascii="Times New Roman" w:hAnsi="Times New Roman"/>
          <w:b/>
          <w:sz w:val="28"/>
          <w:szCs w:val="28"/>
          <w:lang w:val="ru-RU"/>
        </w:rPr>
        <w:t> </w:t>
      </w:r>
      <w:proofErr w:type="gramStart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 xml:space="preserve">В пункте 32 «В случае смерти больного» производится запись согласно пункту 11 врачебного свидетельства о смерти (форма первичной учетной документации № 106/у «Врачебное свидетельство о смерти», в котором указываются патологические состояния, которые привели к непосредственной причине смерти, и другие существенные состояния, способствовавшие смерти. </w:t>
      </w:r>
      <w:proofErr w:type="gramEnd"/>
    </w:p>
    <w:p w:rsidR="000756EE" w:rsidRPr="00480FC4" w:rsidRDefault="000756EE" w:rsidP="000756EE">
      <w:pPr>
        <w:pStyle w:val="a6"/>
        <w:spacing w:before="0" w:after="0" w:line="240" w:lineRule="auto"/>
        <w:ind w:right="99"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56EE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right="99"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17.</w:t>
      </w:r>
      <w:r w:rsidRPr="00480FC4">
        <w:rPr>
          <w:rFonts w:ascii="Times New Roman" w:hAnsi="Times New Roman"/>
          <w:b/>
          <w:sz w:val="28"/>
          <w:szCs w:val="28"/>
          <w:lang w:val="ru-RU"/>
        </w:rPr>
        <w:t> </w:t>
      </w: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В пункте 33 хирургические операции вносятся в хронологическом порядке, проставляется код операции согласно классификатору оперативных вмешательств (на основании этих данных заполняются таблицы 3500 «Хирургическая работа стационара», 3501, 3502 и 3600 «Экстренная хирургическая помощь больным, которые выбыли из стационара 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 отчетный период» формы № 20).</w:t>
      </w: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right="99"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Данные о послеоперационных осложнениях проставляются в графе 6, их код – гр. 7. Добавлена графа № 9 – «Осложнения при анестезии, вызванные анестезиологическими мероприятиями при оперативном вмешательстве». В этой графе следует поставить цифру соответствующего осложнения: остановка сердца, острая сердечная недостаточность – 1, кислотно-аспирационный синдром (аспирационный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пневмонит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) – 2, неудачные попытки или трудности при интубации трахеи – 3, аллергические реакции, в том числе анафилактический шок – 4, несчастный случай при оказании помощи – 5, другие – 6.</w:t>
      </w: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right="99"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right="99"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18.</w:t>
      </w:r>
      <w:r w:rsidRPr="00480FC4">
        <w:rPr>
          <w:rFonts w:ascii="Times New Roman" w:hAnsi="Times New Roman"/>
          <w:b/>
          <w:sz w:val="28"/>
          <w:szCs w:val="28"/>
          <w:lang w:val="ru-RU"/>
        </w:rPr>
        <w:t> </w:t>
      </w: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заполнении пункта 34 отмечаются лишь данные об обследовании, которые были проведены во время лечения больного в данном стационаре. </w:t>
      </w: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right="99"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right="99"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19.</w:t>
      </w:r>
      <w:r w:rsidRPr="00480FC4">
        <w:rPr>
          <w:rFonts w:ascii="Times New Roman" w:hAnsi="Times New Roman"/>
          <w:b/>
          <w:sz w:val="28"/>
          <w:szCs w:val="28"/>
          <w:lang w:val="ru-RU"/>
        </w:rPr>
        <w:t> </w:t>
      </w: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 xml:space="preserve">В пункте 35 дефекты </w:t>
      </w:r>
      <w:proofErr w:type="spellStart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догоспитального</w:t>
      </w:r>
      <w:proofErr w:type="spellEnd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 xml:space="preserve"> этапа отмечаются путем внесения в клеточку соответствующей цифры. </w:t>
      </w: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right="99"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right="99"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20.</w:t>
      </w:r>
      <w:r w:rsidRPr="00480FC4">
        <w:rPr>
          <w:rFonts w:ascii="Times New Roman" w:hAnsi="Times New Roman"/>
          <w:b/>
          <w:sz w:val="28"/>
          <w:szCs w:val="28"/>
          <w:lang w:val="ru-RU"/>
        </w:rPr>
        <w:t> </w:t>
      </w: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В форме № 066/</w:t>
      </w:r>
      <w:proofErr w:type="gramStart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proofErr w:type="gramEnd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обязательно указывают </w:t>
      </w:r>
      <w:proofErr w:type="gramStart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фамилию</w:t>
      </w:r>
      <w:proofErr w:type="gramEnd"/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, имя и отчество лечащего врача (разборчиво) и его подпись.</w:t>
      </w: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right="99"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56EE" w:rsidRPr="00480FC4" w:rsidRDefault="000756EE" w:rsidP="000756EE">
      <w:pPr>
        <w:spacing w:after="0" w:line="240" w:lineRule="auto"/>
        <w:ind w:right="99" w:firstLine="567"/>
        <w:jc w:val="both"/>
        <w:rPr>
          <w:rFonts w:ascii="Times New Roman" w:hAnsi="Times New Roman"/>
          <w:sz w:val="28"/>
          <w:szCs w:val="28"/>
        </w:rPr>
      </w:pPr>
      <w:r w:rsidRPr="00480FC4">
        <w:rPr>
          <w:rFonts w:ascii="Times New Roman" w:hAnsi="Times New Roman"/>
          <w:sz w:val="28"/>
          <w:szCs w:val="28"/>
        </w:rPr>
        <w:t>21.</w:t>
      </w:r>
      <w:r w:rsidRPr="00480FC4">
        <w:rPr>
          <w:rFonts w:ascii="Times New Roman" w:hAnsi="Times New Roman"/>
          <w:b/>
          <w:sz w:val="28"/>
          <w:szCs w:val="28"/>
        </w:rPr>
        <w:t> </w:t>
      </w:r>
      <w:r w:rsidRPr="00480FC4">
        <w:rPr>
          <w:rFonts w:ascii="Times New Roman" w:hAnsi="Times New Roman"/>
          <w:sz w:val="28"/>
          <w:szCs w:val="28"/>
        </w:rPr>
        <w:t>В случае ведения формы № 066/</w:t>
      </w:r>
      <w:proofErr w:type="gramStart"/>
      <w:r w:rsidRPr="00480FC4">
        <w:rPr>
          <w:rFonts w:ascii="Times New Roman" w:hAnsi="Times New Roman"/>
          <w:sz w:val="28"/>
          <w:szCs w:val="28"/>
        </w:rPr>
        <w:t>у</w:t>
      </w:r>
      <w:proofErr w:type="gramEnd"/>
      <w:r w:rsidRPr="00480FC4">
        <w:rPr>
          <w:rFonts w:ascii="Times New Roman" w:hAnsi="Times New Roman"/>
          <w:sz w:val="28"/>
          <w:szCs w:val="28"/>
        </w:rPr>
        <w:t xml:space="preserve"> в электронном формате, в нее должна быть включена вся информация, которая содержится в утвержденном бумажном варианте.</w:t>
      </w:r>
    </w:p>
    <w:p w:rsidR="000756EE" w:rsidRPr="00480FC4" w:rsidRDefault="000756EE" w:rsidP="000756EE">
      <w:pPr>
        <w:spacing w:after="0" w:line="240" w:lineRule="auto"/>
        <w:ind w:right="99" w:firstLine="567"/>
        <w:jc w:val="both"/>
        <w:rPr>
          <w:rFonts w:ascii="Times New Roman" w:hAnsi="Times New Roman"/>
          <w:sz w:val="28"/>
          <w:szCs w:val="28"/>
        </w:rPr>
      </w:pPr>
    </w:p>
    <w:p w:rsidR="000756EE" w:rsidRPr="00480FC4" w:rsidRDefault="000756EE" w:rsidP="000756E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right="99"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22.</w:t>
      </w:r>
      <w:r w:rsidRPr="00480FC4">
        <w:rPr>
          <w:rFonts w:ascii="Times New Roman" w:hAnsi="Times New Roman"/>
          <w:b/>
          <w:sz w:val="28"/>
          <w:szCs w:val="28"/>
          <w:lang w:val="ru-RU"/>
        </w:rPr>
        <w:t> </w:t>
      </w:r>
      <w:r w:rsidRPr="00480FC4">
        <w:rPr>
          <w:rFonts w:ascii="Times New Roman" w:hAnsi="Times New Roman"/>
          <w:color w:val="000000"/>
          <w:sz w:val="28"/>
          <w:szCs w:val="28"/>
          <w:lang w:val="ru-RU"/>
        </w:rPr>
        <w:t>Срок хранения формы № 066/у – 5 лет.</w:t>
      </w:r>
    </w:p>
    <w:p w:rsidR="000756EE" w:rsidRDefault="000756EE" w:rsidP="000756EE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</w:p>
    <w:p w:rsidR="000756EE" w:rsidRDefault="000756EE" w:rsidP="000756EE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</w:p>
    <w:p w:rsidR="000756EE" w:rsidRDefault="000756EE" w:rsidP="00B648DB">
      <w:pPr>
        <w:widowControl w:val="0"/>
        <w:spacing w:after="0" w:line="240" w:lineRule="auto"/>
        <w:ind w:left="5897" w:firstLine="475"/>
        <w:rPr>
          <w:rFonts w:ascii="Times New Roman" w:hAnsi="Times New Roman"/>
          <w:sz w:val="28"/>
        </w:rPr>
      </w:pPr>
    </w:p>
    <w:sectPr w:rsidR="000756EE" w:rsidSect="000756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6BAB"/>
    <w:rsid w:val="00011133"/>
    <w:rsid w:val="00012553"/>
    <w:rsid w:val="00013E4B"/>
    <w:rsid w:val="000751FE"/>
    <w:rsid w:val="000756EE"/>
    <w:rsid w:val="00076582"/>
    <w:rsid w:val="000846F9"/>
    <w:rsid w:val="00147A8D"/>
    <w:rsid w:val="00152A4C"/>
    <w:rsid w:val="001C2F43"/>
    <w:rsid w:val="001D2A48"/>
    <w:rsid w:val="002B6BAB"/>
    <w:rsid w:val="004B6596"/>
    <w:rsid w:val="004C1E5F"/>
    <w:rsid w:val="00526CBA"/>
    <w:rsid w:val="005668E4"/>
    <w:rsid w:val="005F48B2"/>
    <w:rsid w:val="006D0045"/>
    <w:rsid w:val="006D6B73"/>
    <w:rsid w:val="006F6B47"/>
    <w:rsid w:val="007826F8"/>
    <w:rsid w:val="00853CF4"/>
    <w:rsid w:val="00897CFE"/>
    <w:rsid w:val="008B63A0"/>
    <w:rsid w:val="00AC49E2"/>
    <w:rsid w:val="00B34158"/>
    <w:rsid w:val="00B648DB"/>
    <w:rsid w:val="00BE1DE4"/>
    <w:rsid w:val="00C4103F"/>
    <w:rsid w:val="00C8556B"/>
    <w:rsid w:val="00C9311B"/>
    <w:rsid w:val="00CB6A3F"/>
    <w:rsid w:val="00D3304F"/>
    <w:rsid w:val="00D3672B"/>
    <w:rsid w:val="00EB51F8"/>
    <w:rsid w:val="00F6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</w:rPr>
  </w:style>
  <w:style w:type="character" w:customStyle="1" w:styleId="1pt">
    <w:name w:val="Сноска + Интервал 1 pt"/>
    <w:basedOn w:val="afb"/>
    <w:rsid w:val="00C8556B"/>
    <w:rPr>
      <w:spacing w:val="30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ListParagraph">
    <w:name w:val="List Paragraph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Normal">
    <w:name w:val="Normal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2016-10-10T14:43:00Z</dcterms:created>
  <dcterms:modified xsi:type="dcterms:W3CDTF">2016-10-10T14:43:00Z</dcterms:modified>
</cp:coreProperties>
</file>