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20" w:rsidRPr="00017A49" w:rsidRDefault="007B5F20" w:rsidP="007B5F2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34D3">
        <w:rPr>
          <w:rFonts w:ascii="Times New Roman" w:hAnsi="Times New Roman" w:cs="Times New Roman"/>
          <w:sz w:val="28"/>
          <w:szCs w:val="28"/>
        </w:rPr>
        <w:t>1</w:t>
      </w:r>
      <w:r w:rsidR="004F59D2">
        <w:rPr>
          <w:rFonts w:ascii="Times New Roman" w:hAnsi="Times New Roman" w:cs="Times New Roman"/>
          <w:sz w:val="28"/>
          <w:szCs w:val="28"/>
        </w:rPr>
        <w:t>8</w:t>
      </w:r>
    </w:p>
    <w:p w:rsidR="007B5F20" w:rsidRPr="00017A49" w:rsidRDefault="007B5F20" w:rsidP="007B5F2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7B5F20" w:rsidRPr="00017A49" w:rsidRDefault="007B5F20" w:rsidP="007B5F2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«Онкология» (пункт 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7B5F20" w:rsidRPr="00017A49" w:rsidRDefault="007B5F20" w:rsidP="007B5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C6" w:rsidRDefault="007B5F20" w:rsidP="007B5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B5F20" w:rsidRPr="007D0038" w:rsidRDefault="007B5F20" w:rsidP="005D39C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D0038">
        <w:rPr>
          <w:rFonts w:ascii="Times New Roman" w:hAnsi="Times New Roman" w:cs="Times New Roman"/>
          <w:b/>
          <w:sz w:val="28"/>
          <w:szCs w:val="28"/>
        </w:rPr>
        <w:t>ОБ</w:t>
      </w:r>
      <w:r w:rsidR="005D3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038">
        <w:rPr>
          <w:rFonts w:ascii="Times New Roman" w:hAnsi="Times New Roman"/>
          <w:b/>
          <w:sz w:val="28"/>
          <w:szCs w:val="28"/>
        </w:rPr>
        <w:t>ИНФОРМАЦИОННО-АНАЛИТИЧЕСКОМ ЦЕНТРЕ</w:t>
      </w:r>
    </w:p>
    <w:p w:rsidR="007B5F20" w:rsidRPr="007D0038" w:rsidRDefault="007B5F20" w:rsidP="007B5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038">
        <w:rPr>
          <w:rFonts w:ascii="Times New Roman" w:hAnsi="Times New Roman"/>
          <w:b/>
          <w:sz w:val="28"/>
          <w:szCs w:val="28"/>
        </w:rPr>
        <w:t>(ОРГАНИЗАЦИОННО-МЕТОДИЧЕСКОМ ОТДЕЛЕ)</w:t>
      </w:r>
      <w:r w:rsidRPr="007D0038">
        <w:rPr>
          <w:rFonts w:ascii="Times New Roman" w:hAnsi="Times New Roman"/>
          <w:sz w:val="28"/>
          <w:szCs w:val="28"/>
        </w:rPr>
        <w:t xml:space="preserve"> </w:t>
      </w:r>
    </w:p>
    <w:p w:rsidR="007B5F20" w:rsidRPr="007D0038" w:rsidRDefault="007B5F20" w:rsidP="007B5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38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BE4FF6" w:rsidRPr="007D0038">
        <w:rPr>
          <w:rFonts w:ascii="Times New Roman" w:hAnsi="Times New Roman"/>
          <w:sz w:val="28"/>
          <w:szCs w:val="28"/>
        </w:rPr>
        <w:t>&lt;*&gt;</w:t>
      </w:r>
    </w:p>
    <w:p w:rsidR="007B5F20" w:rsidRPr="007D0038" w:rsidRDefault="007B5F20" w:rsidP="007B5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&lt;*&gt;</w:t>
      </w:r>
      <w:r w:rsidRPr="007D0038">
        <w:rPr>
          <w:rFonts w:ascii="Times New Roman" w:hAnsi="Times New Roman"/>
          <w:b/>
          <w:sz w:val="28"/>
          <w:szCs w:val="28"/>
        </w:rPr>
        <w:t xml:space="preserve"> </w:t>
      </w:r>
      <w:r w:rsidRPr="007D0038">
        <w:rPr>
          <w:rFonts w:ascii="Times New Roman" w:hAnsi="Times New Roman"/>
          <w:sz w:val="28"/>
          <w:szCs w:val="28"/>
        </w:rPr>
        <w:t>с канцер-регистром</w:t>
      </w:r>
    </w:p>
    <w:p w:rsidR="007B5F20" w:rsidRPr="007D0038" w:rsidRDefault="007B5F20" w:rsidP="007B5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F20" w:rsidRPr="007D0038" w:rsidRDefault="007B5F20" w:rsidP="007B5F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</w:rPr>
        <w:t>Общие положения</w:t>
      </w:r>
      <w:r w:rsidR="00960D19" w:rsidRPr="007D0038">
        <w:rPr>
          <w:rFonts w:ascii="Times New Roman" w:hAnsi="Times New Roman" w:cs="Times New Roman"/>
          <w:sz w:val="28"/>
          <w:szCs w:val="28"/>
        </w:rPr>
        <w:t>:</w:t>
      </w:r>
    </w:p>
    <w:p w:rsidR="007B5F20" w:rsidRPr="007D0038" w:rsidRDefault="007B5F20" w:rsidP="007B5F20">
      <w:pPr>
        <w:pStyle w:val="ConsPlusNormal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  <w:lang w:val="uk-UA"/>
        </w:rPr>
        <w:t xml:space="preserve">1. 1. </w:t>
      </w:r>
      <w:r w:rsidRPr="007D003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деятельности информационно-аналитического центра (организационно-методического отдела) (далее - ИАЦ (ОМО)) </w:t>
      </w:r>
      <w:r w:rsidR="00967E23" w:rsidRPr="007D0038">
        <w:rPr>
          <w:rFonts w:ascii="Times New Roman" w:hAnsi="Times New Roman" w:cs="Times New Roman"/>
          <w:sz w:val="28"/>
          <w:szCs w:val="28"/>
        </w:rPr>
        <w:t>Центра</w:t>
      </w:r>
      <w:r w:rsidR="00960D19" w:rsidRPr="007D0038">
        <w:rPr>
          <w:rFonts w:ascii="Times New Roman" w:hAnsi="Times New Roman" w:cs="Times New Roman"/>
          <w:sz w:val="28"/>
          <w:szCs w:val="28"/>
        </w:rPr>
        <w:t>;</w:t>
      </w: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1.2. ИАЦ (ОМО) является структурным подразделением Центра, осуществляющим реализацию государственной политики в сфере медицинской статистики, информационных технологий и организационно-методической работы</w:t>
      </w:r>
      <w:r w:rsidR="00960D19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1.3. ИАЦ (ОМО) подчиняется заместителю главного врача учреждения по организационно-методической работе, который назначается и увольняется директором (главным врачом) учреждения в соответствии с законодательством</w:t>
      </w:r>
      <w:r w:rsidR="00960D19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1.4. ИАЦ (ОМО) в методическом плане подчиняется Республиканскому Центру организации здравоохранения, медицинской статистики и информационных технологий Министерства здравоохранения Донецкой Народной Республики</w:t>
      </w:r>
      <w:r w:rsidR="00960D19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 xml:space="preserve">1.5. ИАЦ (ОМО) в своей деятельности руководствуется Конституцией </w:t>
      </w:r>
      <w:r w:rsidR="00967E23" w:rsidRPr="007D003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D0038">
        <w:rPr>
          <w:rFonts w:ascii="Times New Roman" w:hAnsi="Times New Roman"/>
          <w:sz w:val="28"/>
          <w:szCs w:val="28"/>
        </w:rPr>
        <w:t xml:space="preserve">, Законами Донецкой Народной Республики, Указами Главы Донецкой Народной Республики, постановлениями Совета Министров Донецкой Народной Республики, приказами Министерства здравоохранения Донецкой Народной Республики, главного врача, другими </w:t>
      </w:r>
      <w:r w:rsidRPr="002B602D">
        <w:rPr>
          <w:rFonts w:ascii="Times New Roman" w:hAnsi="Times New Roman"/>
          <w:sz w:val="28"/>
          <w:szCs w:val="28"/>
        </w:rPr>
        <w:t>нормативн</w:t>
      </w:r>
      <w:r w:rsidR="005B4104" w:rsidRPr="002B602D">
        <w:rPr>
          <w:rFonts w:ascii="Times New Roman" w:hAnsi="Times New Roman"/>
          <w:sz w:val="28"/>
          <w:szCs w:val="28"/>
        </w:rPr>
        <w:t xml:space="preserve">ыми </w:t>
      </w:r>
      <w:r w:rsidRPr="002B602D">
        <w:rPr>
          <w:rFonts w:ascii="Times New Roman" w:hAnsi="Times New Roman"/>
          <w:sz w:val="28"/>
          <w:szCs w:val="28"/>
        </w:rPr>
        <w:t>правовыми</w:t>
      </w:r>
      <w:r w:rsidRPr="007D0038">
        <w:rPr>
          <w:rFonts w:ascii="Times New Roman" w:hAnsi="Times New Roman"/>
          <w:sz w:val="28"/>
          <w:szCs w:val="28"/>
        </w:rPr>
        <w:t xml:space="preserve"> актами Донецкой Народной Республики, а также </w:t>
      </w:r>
      <w:r w:rsidR="00967E23" w:rsidRPr="007D0038">
        <w:rPr>
          <w:rFonts w:ascii="Times New Roman" w:hAnsi="Times New Roman"/>
          <w:sz w:val="28"/>
          <w:szCs w:val="28"/>
        </w:rPr>
        <w:t>настоящим</w:t>
      </w:r>
      <w:r w:rsidRPr="007D0038">
        <w:rPr>
          <w:rFonts w:ascii="Times New Roman" w:hAnsi="Times New Roman"/>
          <w:sz w:val="28"/>
          <w:szCs w:val="28"/>
        </w:rPr>
        <w:t xml:space="preserve"> Положением</w:t>
      </w:r>
      <w:r w:rsidR="00960D19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 xml:space="preserve">1.6. ИАЦ (ОМО) планирует свою работу в соответствии с планами работы </w:t>
      </w:r>
      <w:r w:rsidR="00967E23" w:rsidRPr="007D0038">
        <w:rPr>
          <w:rFonts w:ascii="Times New Roman" w:hAnsi="Times New Roman"/>
          <w:sz w:val="28"/>
          <w:szCs w:val="28"/>
        </w:rPr>
        <w:t xml:space="preserve">Министерства здравоохранения Донецкой Народной Республики </w:t>
      </w:r>
      <w:r w:rsidRPr="007D0038">
        <w:rPr>
          <w:rFonts w:ascii="Times New Roman" w:hAnsi="Times New Roman"/>
          <w:sz w:val="28"/>
          <w:szCs w:val="28"/>
        </w:rPr>
        <w:t>и соответствующего учреждения здравоохранения.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967E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 xml:space="preserve"> Цели и задачи</w:t>
      </w:r>
      <w:r w:rsidR="00967E23" w:rsidRPr="007D0038">
        <w:rPr>
          <w:rFonts w:ascii="Times New Roman" w:hAnsi="Times New Roman"/>
          <w:sz w:val="28"/>
          <w:szCs w:val="28"/>
        </w:rPr>
        <w:t>:</w:t>
      </w:r>
    </w:p>
    <w:p w:rsidR="007B5F20" w:rsidRPr="007D0038" w:rsidRDefault="007B5F20" w:rsidP="007B5F20">
      <w:pPr>
        <w:spacing w:after="0" w:line="240" w:lineRule="auto"/>
        <w:ind w:left="825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2.1. Участвует в разработке организационных, методических мероприятий и подготовке нормативных документов, направленных на совершенствование профилактики, диагностики и лечения онкологических заболеваний, реабилитацию больных, обеспечение действенного контроля за качеством оказания медицинской помощи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2.2. Изучает вопросы организации работы учреждений здравоохранения, осуществляющих оказание медицинской помощи больным злокачественными новообразованиями, анализирует и обобщает результаты их деятельности, вносит предложения по совершенствованию организации и эффективности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</w:r>
    </w:p>
    <w:p w:rsidR="007B5F20" w:rsidRPr="007D0038" w:rsidRDefault="007B5F20" w:rsidP="007B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 xml:space="preserve">2.3. Осуществляет организационно-методическое руководство и контроль </w:t>
      </w:r>
      <w:r w:rsidRPr="002B602D">
        <w:rPr>
          <w:rFonts w:ascii="Times New Roman" w:hAnsi="Times New Roman"/>
          <w:sz w:val="28"/>
          <w:szCs w:val="28"/>
        </w:rPr>
        <w:t xml:space="preserve">за деятельностью структурных подразделений онкологической службы </w:t>
      </w:r>
      <w:r w:rsidR="001160FF" w:rsidRPr="002B602D">
        <w:rPr>
          <w:rFonts w:ascii="Times New Roman" w:hAnsi="Times New Roman"/>
          <w:sz w:val="28"/>
          <w:szCs w:val="28"/>
        </w:rPr>
        <w:t>Донецкой Народной</w:t>
      </w:r>
      <w:r w:rsidR="001160FF">
        <w:rPr>
          <w:rFonts w:ascii="Times New Roman" w:hAnsi="Times New Roman"/>
          <w:sz w:val="28"/>
          <w:szCs w:val="28"/>
        </w:rPr>
        <w:t xml:space="preserve"> </w:t>
      </w:r>
      <w:r w:rsidRPr="007D0038">
        <w:rPr>
          <w:rFonts w:ascii="Times New Roman" w:hAnsi="Times New Roman"/>
          <w:sz w:val="28"/>
          <w:szCs w:val="28"/>
        </w:rPr>
        <w:t>Республики: онкологических кабинетов, онкологических отделений, онкологических диспансеров, в том числе путем организации проверок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2.4. Обеспечивает соблюдение единой системы сбора, обработки, хранения и передачи медико-статистической информации от структурных подразделений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2.5. Участвует в разработке нормативов, стандартов, протоколов оказания медицинской помощи по профилю «Онкология», учетной и отчетной статистической документации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2.6. Организует выездные консультативные формы работы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2.7. Осуществляет мониторинг показателей здоровья населения, ресурсного обеспечения и деятельности учреждения и профильных учреждений здравоохранения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2.8. Обеспечивает дальнейшее внедрение современных информационных технологий в учреждении и профильных учреждений здравоохранения.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Функции</w:t>
      </w:r>
      <w:r w:rsidR="00967E23" w:rsidRPr="007D0038">
        <w:rPr>
          <w:rFonts w:ascii="Times New Roman" w:hAnsi="Times New Roman"/>
          <w:sz w:val="28"/>
          <w:szCs w:val="28"/>
        </w:rPr>
        <w:t>:</w:t>
      </w:r>
    </w:p>
    <w:p w:rsidR="007B5F20" w:rsidRPr="007D0038" w:rsidRDefault="007B5F20" w:rsidP="007B5F20">
      <w:pPr>
        <w:spacing w:after="0" w:line="240" w:lineRule="auto"/>
        <w:ind w:left="825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3.1. Централизованный сбор, обработка, хранение и передача медико-статистической и административной информации от структурных подразделений и учреждений здравоохранения: онкологических кабинетов, онкологических отделений, онкологических диспансеров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 xml:space="preserve">3.2. Анализ показателей заболеваемости и смертности населения от злокачественных новообразований, деятельности и ресурсного обеспечения Центра и структурных подразделений и учреждений онкологической службы, </w:t>
      </w:r>
      <w:r w:rsidRPr="007D0038">
        <w:rPr>
          <w:rFonts w:ascii="Times New Roman" w:hAnsi="Times New Roman"/>
          <w:sz w:val="28"/>
          <w:szCs w:val="28"/>
        </w:rPr>
        <w:lastRenderedPageBreak/>
        <w:t>эффективности и качества проведенных профилактических мероприятий, диагностики и лечения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 xml:space="preserve">3.3. Ведение информационных систем: канцер-регистров Республиканского (популяционного) и больничного (госпитального), электронных реестров, </w:t>
      </w:r>
      <w:r w:rsidRPr="002B602D">
        <w:rPr>
          <w:rFonts w:ascii="Times New Roman" w:hAnsi="Times New Roman"/>
          <w:sz w:val="28"/>
          <w:szCs w:val="28"/>
        </w:rPr>
        <w:t>программного обеспечения,</w:t>
      </w:r>
      <w:bookmarkStart w:id="0" w:name="_GoBack"/>
      <w:bookmarkEnd w:id="0"/>
      <w:r w:rsidRPr="007D0038">
        <w:rPr>
          <w:rFonts w:ascii="Times New Roman" w:hAnsi="Times New Roman"/>
          <w:sz w:val="28"/>
          <w:szCs w:val="28"/>
        </w:rPr>
        <w:t xml:space="preserve"> создание условий для обеспечения оперативного доступа медицинского персонала к ним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3.4. Прогнозирование динамики заболеваемости злокачественными новообразованиями  и обусловленных ею медико-социальных последствий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3.5. Мониторинг и анализ эффективности реализации профилактических программ, своевременности диагностики, качества лечения и реабилитации больных по профилю «Онкология», разработка мероприятий по улучшению данных направлений работы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3.6. Разработка комплексных планов работы Центра, онкологической службы, определение приоритетных направлений развития с учетом уровня и структуры заболеваемости, предоставление их на утверждение руководству Центра, Министерству здравоохранения Донецкой Народной Республики.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967E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>Участие в разработке государственных программ в сфере здравоохранения, мероприятий по развитию специализированной и высокотехнологической помощи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967E23" w:rsidRPr="007D0038" w:rsidRDefault="00967E23" w:rsidP="0096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3.8. Анализ и подготовка отчетов об эффективности реализации профильных государственных п</w:t>
      </w:r>
      <w:r w:rsidR="00967E23" w:rsidRPr="007D0038">
        <w:rPr>
          <w:rFonts w:ascii="Times New Roman" w:hAnsi="Times New Roman"/>
          <w:sz w:val="28"/>
          <w:szCs w:val="28"/>
        </w:rPr>
        <w:t>рограмм в сфере здравоохранения;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3.9. Организационно-методическое руководство работой информационно-аналитических отделов медицинской статистики в учреждениях здравоохранения, оказывающих медицинскую помощь онкологическим больным по вопросам статистического учета, отчетности, профилактики, своевременной диагностики, контролю качества оказания медицинской помощи и реабилитации профильных больных, обеспечение преемственности в работе между учреждениями различных уровней оказания медицинской помощи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3.10. Организация работы по подготовке учреждения и профильных учреждений здравоохранения к аккредитации и лицензированию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3.11. Организация выездной планово-консультативной помощи учреждениям здравоохранения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3.12. Разработка методических материалов, инструкций для структурных подразделений учреждения и профильных учреждений здравоохранения.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lastRenderedPageBreak/>
        <w:tab/>
        <w:t>3.13. В рамках своей компетенции осуществляет проведение плановых и внеплановых проверок деятельности учреждений здравоохранения</w:t>
      </w:r>
      <w:r w:rsidR="00967E23" w:rsidRPr="007D0038">
        <w:rPr>
          <w:rFonts w:ascii="Times New Roman" w:hAnsi="Times New Roman"/>
          <w:sz w:val="28"/>
          <w:szCs w:val="28"/>
        </w:rPr>
        <w:t>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3.14. По материалам плановых и внеплановых проверок учреждения здравоохранения и данным статистических отчетов обобщает и изучает вопросы: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1) планирования и управления их деятельностью;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2) организации работы их структурных подразделений;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3) рационального использования коечного фонда;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4) организации консультативной помощи;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5) экспертизы временной нетрудоспособности;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6) полноты и качества оформления медицинской документации;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7) обеспеченности врачебным, средним и младшим медицинском персоналом, использования и расстановки кадров, повышении квалификации персонала;</w:t>
      </w:r>
    </w:p>
    <w:p w:rsidR="007B5F20" w:rsidRPr="007D0038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38">
        <w:rPr>
          <w:rFonts w:ascii="Times New Roman" w:hAnsi="Times New Roman"/>
          <w:sz w:val="28"/>
          <w:szCs w:val="28"/>
        </w:rPr>
        <w:tab/>
        <w:t>8)организации статистического учета и отчетности, достоверности отчетных данных и других;</w:t>
      </w: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</w:rPr>
        <w:t>9) состояние учета онкологических заболеваний у взрослых и детей;</w:t>
      </w: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7D0038">
        <w:rPr>
          <w:rFonts w:ascii="Times New Roman" w:hAnsi="Times New Roman" w:cs="Times New Roman"/>
          <w:sz w:val="28"/>
          <w:szCs w:val="28"/>
        </w:rPr>
        <w:t>причины случаев позднего выявления онкологических заболеваний, качества и своевременности заполнения формы</w:t>
      </w:r>
      <w:r w:rsidRPr="007D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038">
        <w:rPr>
          <w:rFonts w:ascii="Times New Roman" w:hAnsi="Times New Roman" w:cs="Times New Roman"/>
          <w:sz w:val="28"/>
          <w:szCs w:val="28"/>
        </w:rPr>
        <w:t>027-2/у «Протокола о выявлении у больного запущенной формы злокачественного новообразования»</w:t>
      </w:r>
      <w:r w:rsidR="00AD4BF7" w:rsidRPr="007D0038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Донецкой Народной Республики № 312 от 12 марта 2015 г., зарегистрированным в Министерстве юстиции Донецкой Народной Республики 20 мая 2015 г. под регистрационным № 141</w:t>
      </w:r>
      <w:r w:rsidRPr="007D0038">
        <w:rPr>
          <w:rFonts w:ascii="Times New Roman" w:hAnsi="Times New Roman" w:cs="Times New Roman"/>
          <w:sz w:val="28"/>
          <w:szCs w:val="28"/>
        </w:rPr>
        <w:t>;</w:t>
      </w:r>
    </w:p>
    <w:p w:rsidR="007B5F20" w:rsidRPr="007D0038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</w:rPr>
        <w:t>11) причины и уровни одногодичной летальности (случаев смерти в течение первого года с момента установления диагноза онкологического заболевания);</w:t>
      </w:r>
    </w:p>
    <w:p w:rsidR="007B5F20" w:rsidRPr="00017A49" w:rsidRDefault="007B5F20" w:rsidP="007B5F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38">
        <w:rPr>
          <w:rFonts w:ascii="Times New Roman" w:hAnsi="Times New Roman" w:cs="Times New Roman"/>
          <w:sz w:val="28"/>
          <w:szCs w:val="28"/>
        </w:rPr>
        <w:t>12) качество оформления учреждениями здравоохранения установленных форм медицинской документации при обследовании и лечении больных с онкологическими заболеваниями</w:t>
      </w:r>
      <w:r w:rsidR="00967E23" w:rsidRPr="007D0038">
        <w:rPr>
          <w:rFonts w:ascii="Times New Roman" w:hAnsi="Times New Roman" w:cs="Times New Roman"/>
          <w:sz w:val="28"/>
          <w:szCs w:val="28"/>
        </w:rPr>
        <w:t>;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ab/>
        <w:t xml:space="preserve">3.15. Под руководством и по поручению </w:t>
      </w:r>
      <w:r w:rsidRPr="00E334E0">
        <w:rPr>
          <w:rFonts w:ascii="Times New Roman" w:hAnsi="Times New Roman"/>
          <w:sz w:val="28"/>
          <w:szCs w:val="28"/>
        </w:rPr>
        <w:t xml:space="preserve">главного </w:t>
      </w:r>
      <w:r w:rsidR="00E334E0" w:rsidRPr="00E334E0">
        <w:rPr>
          <w:rFonts w:ascii="Times New Roman" w:hAnsi="Times New Roman"/>
          <w:sz w:val="28"/>
          <w:szCs w:val="28"/>
        </w:rPr>
        <w:t>внештатного специалиста по профилю «Онкология» Министерства здравоохранения Донецкой Народной Республики</w:t>
      </w:r>
      <w:r w:rsidRPr="00017A49">
        <w:rPr>
          <w:rFonts w:ascii="Times New Roman" w:hAnsi="Times New Roman"/>
          <w:sz w:val="28"/>
          <w:szCs w:val="28"/>
        </w:rPr>
        <w:t xml:space="preserve"> анализирует организацию оказания стационарной, отдельных видов специализированной и амбулаторно-поликлинической помощи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ab/>
        <w:t xml:space="preserve">3.16. Разрабатывает </w:t>
      </w:r>
      <w:r w:rsidRPr="00967E23">
        <w:rPr>
          <w:rFonts w:ascii="Times New Roman" w:hAnsi="Times New Roman"/>
          <w:sz w:val="28"/>
          <w:szCs w:val="28"/>
        </w:rPr>
        <w:t>предложения по устранению недостатков в работе соответствующих служб, обеспечению надлежащего качества оказания медицинской помощи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  <w:t>3.17. Принимает участие в организации и проведении совещаний, семинаров и научно-практических конференций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lastRenderedPageBreak/>
        <w:tab/>
        <w:t xml:space="preserve">3.18. Участвует в организации контроля выполнения в учреждениях здравоохранения приказов и распоряжений </w:t>
      </w:r>
      <w:r w:rsidR="00967E23" w:rsidRPr="00967E23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  <w:r w:rsidRPr="00967E23">
        <w:rPr>
          <w:rFonts w:ascii="Times New Roman" w:hAnsi="Times New Roman"/>
          <w:sz w:val="28"/>
          <w:szCs w:val="28"/>
        </w:rPr>
        <w:t>, решений коллегий, а также инструктивно-методических указаний и информационных писем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  <w:t xml:space="preserve">3.19. Принимает участие в организации и работе комиссий, создаваемых </w:t>
      </w:r>
      <w:r w:rsidR="00967E23" w:rsidRPr="00967E23">
        <w:rPr>
          <w:rFonts w:ascii="Times New Roman" w:hAnsi="Times New Roman"/>
          <w:sz w:val="28"/>
          <w:szCs w:val="28"/>
        </w:rPr>
        <w:t>Министерств</w:t>
      </w:r>
      <w:r w:rsidR="00967E23">
        <w:rPr>
          <w:rFonts w:ascii="Times New Roman" w:hAnsi="Times New Roman"/>
          <w:sz w:val="28"/>
          <w:szCs w:val="28"/>
        </w:rPr>
        <w:t>ом</w:t>
      </w:r>
      <w:r w:rsidR="00967E23" w:rsidRPr="00967E23">
        <w:rPr>
          <w:rFonts w:ascii="Times New Roman" w:hAnsi="Times New Roman"/>
          <w:sz w:val="28"/>
          <w:szCs w:val="28"/>
        </w:rPr>
        <w:t xml:space="preserve"> здравоохранения Донецкой Народной Республики </w:t>
      </w:r>
      <w:r w:rsidRPr="00967E23">
        <w:rPr>
          <w:rFonts w:ascii="Times New Roman" w:hAnsi="Times New Roman"/>
          <w:sz w:val="28"/>
          <w:szCs w:val="28"/>
        </w:rPr>
        <w:t>по проверке деятельности учреждений здравоохранения с последующим оформлением обобщенных документов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>3.20. Участвует в работе противораковой комиссии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  <w:t>3.21. Оказывает организационно-методическую помощь в организации контроля качества оказания медицинской помощи и эффективности стационарной и амбулаторно-поликлинической помощи</w:t>
      </w:r>
      <w:r w:rsidR="00967E23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  <w:t xml:space="preserve">3.22. Участвует в работе аттестационной и аккредитационной комиссий </w:t>
      </w:r>
      <w:r w:rsidR="00960D19" w:rsidRPr="00967E23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  <w:r w:rsidR="00960D19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  <w:t xml:space="preserve">3.23. Принимает участие в подготовке материалов для коллегий, совещаний </w:t>
      </w:r>
      <w:r w:rsidR="00960D19" w:rsidRPr="00967E23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  <w:r w:rsidRPr="00967E23">
        <w:rPr>
          <w:rFonts w:ascii="Times New Roman" w:hAnsi="Times New Roman"/>
          <w:sz w:val="28"/>
          <w:szCs w:val="28"/>
        </w:rPr>
        <w:t>, участвует в их работе</w:t>
      </w:r>
      <w:r w:rsidR="00960D19"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D19" w:rsidRPr="00960D19" w:rsidRDefault="00960D19" w:rsidP="00960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Pr="00967E23">
        <w:rPr>
          <w:rFonts w:ascii="Times New Roman" w:hAnsi="Times New Roman"/>
          <w:sz w:val="28"/>
          <w:szCs w:val="28"/>
        </w:rPr>
        <w:t>ИАЦ (ОМО)</w:t>
      </w:r>
      <w:r>
        <w:rPr>
          <w:rFonts w:ascii="Times New Roman" w:hAnsi="Times New Roman"/>
          <w:sz w:val="28"/>
          <w:szCs w:val="28"/>
        </w:rPr>
        <w:t>:</w:t>
      </w:r>
    </w:p>
    <w:p w:rsidR="00960D19" w:rsidRDefault="00960D19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960D19" w:rsidP="00960D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B5F20" w:rsidRPr="00967E23">
        <w:rPr>
          <w:rFonts w:ascii="Times New Roman" w:hAnsi="Times New Roman"/>
          <w:sz w:val="28"/>
          <w:szCs w:val="28"/>
        </w:rPr>
        <w:t>Возглавляет ИАЦ (ОМО) заведующий, который назначается на должность приказом руководителя учреждения из числа опытных врачей специалистов по профилю «Онкология» со стажем работы не менее 5 лет, имеющих подготовку по организации здравоохранения, медицинской статистике</w:t>
      </w:r>
      <w:r>
        <w:rPr>
          <w:rFonts w:ascii="Times New Roman" w:hAnsi="Times New Roman"/>
          <w:sz w:val="28"/>
          <w:szCs w:val="28"/>
        </w:rPr>
        <w:t>;</w:t>
      </w: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967E23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</w:r>
      <w:r w:rsidR="00960D19">
        <w:rPr>
          <w:rFonts w:ascii="Times New Roman" w:hAnsi="Times New Roman"/>
          <w:sz w:val="28"/>
          <w:szCs w:val="28"/>
        </w:rPr>
        <w:t>4.2.</w:t>
      </w:r>
      <w:r w:rsidRPr="00967E23">
        <w:rPr>
          <w:rFonts w:ascii="Times New Roman" w:hAnsi="Times New Roman"/>
          <w:sz w:val="28"/>
          <w:szCs w:val="28"/>
        </w:rPr>
        <w:t xml:space="preserve"> Заведующий ИАЦ (ОМО): 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E23">
        <w:rPr>
          <w:rFonts w:ascii="Times New Roman" w:hAnsi="Times New Roman"/>
          <w:sz w:val="28"/>
          <w:szCs w:val="28"/>
        </w:rPr>
        <w:tab/>
      </w:r>
      <w:r w:rsidR="00960D19">
        <w:rPr>
          <w:rFonts w:ascii="Times New Roman" w:hAnsi="Times New Roman"/>
          <w:sz w:val="28"/>
          <w:szCs w:val="28"/>
        </w:rPr>
        <w:t xml:space="preserve">1) </w:t>
      </w:r>
      <w:r w:rsidRPr="00967E23">
        <w:rPr>
          <w:rFonts w:ascii="Times New Roman" w:hAnsi="Times New Roman"/>
          <w:sz w:val="28"/>
          <w:szCs w:val="28"/>
        </w:rPr>
        <w:t>осуществляет общее руководство работой ИАЦ</w:t>
      </w:r>
      <w:r w:rsidRPr="00017A49">
        <w:rPr>
          <w:rFonts w:ascii="Times New Roman" w:hAnsi="Times New Roman"/>
          <w:sz w:val="28"/>
          <w:szCs w:val="28"/>
        </w:rPr>
        <w:t xml:space="preserve"> (ОМО);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ab/>
      </w:r>
      <w:r w:rsidR="00960D19">
        <w:rPr>
          <w:rFonts w:ascii="Times New Roman" w:hAnsi="Times New Roman"/>
          <w:sz w:val="28"/>
          <w:szCs w:val="28"/>
        </w:rPr>
        <w:t>2)</w:t>
      </w:r>
      <w:r w:rsidRPr="00017A49">
        <w:rPr>
          <w:rFonts w:ascii="Times New Roman" w:hAnsi="Times New Roman"/>
          <w:sz w:val="28"/>
          <w:szCs w:val="28"/>
        </w:rPr>
        <w:t xml:space="preserve"> несет ответственность за выполнение задач и функций ИАЦ (ОМО);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ab/>
      </w:r>
      <w:r w:rsidR="00960D19">
        <w:rPr>
          <w:rFonts w:ascii="Times New Roman" w:hAnsi="Times New Roman"/>
          <w:sz w:val="28"/>
          <w:szCs w:val="28"/>
        </w:rPr>
        <w:t xml:space="preserve">3) </w:t>
      </w:r>
      <w:r w:rsidRPr="00017A49">
        <w:rPr>
          <w:rFonts w:ascii="Times New Roman" w:hAnsi="Times New Roman"/>
          <w:sz w:val="28"/>
          <w:szCs w:val="28"/>
        </w:rPr>
        <w:t>организует работу по повышению квалификации и профессионального уровня сотрудников ИАЦ (ОМО);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ab/>
      </w:r>
      <w:r w:rsidR="00960D19">
        <w:rPr>
          <w:rFonts w:ascii="Times New Roman" w:hAnsi="Times New Roman"/>
          <w:sz w:val="28"/>
          <w:szCs w:val="28"/>
        </w:rPr>
        <w:t>4)</w:t>
      </w:r>
      <w:r w:rsidRPr="00017A49">
        <w:rPr>
          <w:rFonts w:ascii="Times New Roman" w:hAnsi="Times New Roman"/>
          <w:sz w:val="28"/>
          <w:szCs w:val="28"/>
        </w:rPr>
        <w:t xml:space="preserve"> осуществляет другие функции и полномочия, предусмотренные </w:t>
      </w:r>
      <w:r w:rsidR="00960D19">
        <w:rPr>
          <w:rFonts w:ascii="Times New Roman" w:hAnsi="Times New Roman"/>
          <w:sz w:val="28"/>
          <w:szCs w:val="28"/>
        </w:rPr>
        <w:t>настоящим</w:t>
      </w:r>
      <w:r w:rsidRPr="00017A49">
        <w:rPr>
          <w:rFonts w:ascii="Times New Roman" w:hAnsi="Times New Roman"/>
          <w:sz w:val="28"/>
          <w:szCs w:val="28"/>
        </w:rPr>
        <w:t xml:space="preserve"> Положением.</w:t>
      </w:r>
    </w:p>
    <w:p w:rsidR="007B5F20" w:rsidRPr="00017A49" w:rsidRDefault="007B5F20" w:rsidP="007B5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F20" w:rsidRPr="00017A49" w:rsidRDefault="007B5F20" w:rsidP="00960D1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Права ИАЦ (ОМО)</w:t>
      </w:r>
      <w:r w:rsidR="00960D19">
        <w:rPr>
          <w:rFonts w:ascii="Times New Roman" w:hAnsi="Times New Roman"/>
          <w:sz w:val="28"/>
          <w:szCs w:val="28"/>
        </w:rPr>
        <w:t>:</w:t>
      </w:r>
    </w:p>
    <w:p w:rsidR="007B5F20" w:rsidRPr="00017A49" w:rsidRDefault="007B5F20" w:rsidP="00960D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5F20" w:rsidRPr="00017A49" w:rsidRDefault="00960D19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5F20" w:rsidRPr="00017A49">
        <w:rPr>
          <w:rFonts w:ascii="Times New Roman" w:hAnsi="Times New Roman"/>
          <w:sz w:val="28"/>
          <w:szCs w:val="28"/>
        </w:rPr>
        <w:t>.1. Получать в рамках своей компетенции от учреждения здравоохранения, предприятий и организаций, в том числе международных, справочно-информационные и аналитические материалы в рамках своей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7B5F20" w:rsidRPr="00017A49" w:rsidRDefault="007B5F20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0" w:rsidRPr="00017A49" w:rsidRDefault="00960D19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5F20" w:rsidRPr="00017A49">
        <w:rPr>
          <w:rFonts w:ascii="Times New Roman" w:hAnsi="Times New Roman"/>
          <w:sz w:val="28"/>
          <w:szCs w:val="28"/>
        </w:rPr>
        <w:t>.2. Осуществлять аналитическую, научно-практическую, информационно-образовательную, консультативную и другую деятельность, связанную с выполнением возложенных на него задач и функций</w:t>
      </w:r>
      <w:r>
        <w:rPr>
          <w:rFonts w:ascii="Times New Roman" w:hAnsi="Times New Roman"/>
          <w:sz w:val="28"/>
          <w:szCs w:val="28"/>
        </w:rPr>
        <w:t>;</w:t>
      </w:r>
    </w:p>
    <w:p w:rsidR="007B5F20" w:rsidRPr="00017A49" w:rsidRDefault="007B5F20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0" w:rsidRPr="00017A49" w:rsidRDefault="00960D19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5F20" w:rsidRPr="00017A49">
        <w:rPr>
          <w:rFonts w:ascii="Times New Roman" w:hAnsi="Times New Roman"/>
          <w:sz w:val="28"/>
          <w:szCs w:val="28"/>
        </w:rPr>
        <w:t>.3. Готовить и издавать информационно-аналитические и справочные материалы</w:t>
      </w:r>
      <w:r>
        <w:rPr>
          <w:rFonts w:ascii="Times New Roman" w:hAnsi="Times New Roman"/>
          <w:sz w:val="28"/>
          <w:szCs w:val="28"/>
        </w:rPr>
        <w:t>;</w:t>
      </w:r>
    </w:p>
    <w:p w:rsidR="007B5F20" w:rsidRPr="00017A49" w:rsidRDefault="007B5F20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0" w:rsidRPr="00D01B8F" w:rsidRDefault="00960D19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B8F">
        <w:rPr>
          <w:rFonts w:ascii="Times New Roman" w:hAnsi="Times New Roman"/>
          <w:sz w:val="28"/>
          <w:szCs w:val="28"/>
        </w:rPr>
        <w:t>5</w:t>
      </w:r>
      <w:r w:rsidR="007B5F20" w:rsidRPr="00D01B8F">
        <w:rPr>
          <w:rFonts w:ascii="Times New Roman" w:hAnsi="Times New Roman"/>
          <w:sz w:val="28"/>
          <w:szCs w:val="28"/>
        </w:rPr>
        <w:t>.</w:t>
      </w:r>
      <w:r w:rsidRPr="00D01B8F">
        <w:rPr>
          <w:rFonts w:ascii="Times New Roman" w:hAnsi="Times New Roman"/>
          <w:sz w:val="28"/>
          <w:szCs w:val="28"/>
        </w:rPr>
        <w:t>4</w:t>
      </w:r>
      <w:r w:rsidR="007B5F20" w:rsidRPr="00D01B8F">
        <w:rPr>
          <w:rFonts w:ascii="Times New Roman" w:hAnsi="Times New Roman"/>
          <w:sz w:val="28"/>
          <w:szCs w:val="28"/>
        </w:rPr>
        <w:t>. Ходатайствовать перед администрацией учреждения о премировании сотрудников</w:t>
      </w:r>
      <w:r w:rsidRPr="00D01B8F">
        <w:rPr>
          <w:rFonts w:ascii="Times New Roman" w:hAnsi="Times New Roman"/>
          <w:sz w:val="28"/>
          <w:szCs w:val="28"/>
        </w:rPr>
        <w:t>.</w:t>
      </w:r>
    </w:p>
    <w:p w:rsidR="007B5F20" w:rsidRPr="00D01B8F" w:rsidRDefault="007B5F20" w:rsidP="00960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0" w:rsidRPr="00D01B8F" w:rsidRDefault="00960D19" w:rsidP="0014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8F">
        <w:rPr>
          <w:rFonts w:ascii="Times New Roman" w:hAnsi="Times New Roman" w:cs="Times New Roman"/>
          <w:sz w:val="28"/>
          <w:szCs w:val="28"/>
        </w:rPr>
        <w:t>6</w:t>
      </w:r>
      <w:r w:rsidR="007B5F20" w:rsidRPr="00D01B8F">
        <w:rPr>
          <w:rFonts w:ascii="Times New Roman" w:hAnsi="Times New Roman" w:cs="Times New Roman"/>
          <w:sz w:val="28"/>
          <w:szCs w:val="28"/>
        </w:rPr>
        <w:t xml:space="preserve">. Штатная численность ИАЦ (ОМО) устанавливается в зависимости от объемов проводимой работы с учетом </w:t>
      </w:r>
      <w:r w:rsidR="00795DA2" w:rsidRPr="00D01B8F">
        <w:rPr>
          <w:rFonts w:ascii="Times New Roman" w:hAnsi="Times New Roman" w:cs="Times New Roman"/>
          <w:sz w:val="28"/>
          <w:szCs w:val="28"/>
        </w:rPr>
        <w:t>р</w:t>
      </w:r>
      <w:r w:rsidR="007B5F20" w:rsidRPr="00D01B8F">
        <w:rPr>
          <w:rFonts w:ascii="Times New Roman" w:hAnsi="Times New Roman" w:cs="Times New Roman"/>
          <w:sz w:val="28"/>
          <w:szCs w:val="28"/>
        </w:rPr>
        <w:t xml:space="preserve">екомендуемых штатных нормативов, </w:t>
      </w:r>
      <w:r w:rsidR="00144033" w:rsidRPr="00D01B8F">
        <w:rPr>
          <w:rFonts w:ascii="Times New Roman" w:hAnsi="Times New Roman" w:cs="Times New Roman"/>
          <w:sz w:val="28"/>
          <w:szCs w:val="28"/>
        </w:rPr>
        <w:t>информационно-аналитического центра (организацион</w:t>
      </w:r>
      <w:r w:rsidR="00795DA2" w:rsidRPr="00D01B8F">
        <w:rPr>
          <w:rFonts w:ascii="Times New Roman" w:hAnsi="Times New Roman" w:cs="Times New Roman"/>
          <w:sz w:val="28"/>
          <w:szCs w:val="28"/>
        </w:rPr>
        <w:t>но-методического отдела) Центра: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520"/>
      </w:tblGrid>
      <w:tr w:rsidR="00CA5A86" w:rsidRPr="00D01B8F" w:rsidTr="00CA5A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CA5A86" w:rsidRPr="00D01B8F" w:rsidTr="00CA5A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6" w:rsidRPr="00D01B8F" w:rsidRDefault="00CA5A86" w:rsidP="00CA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Заведующий ИАЦ (ОМО)</w:t>
            </w:r>
          </w:p>
        </w:tc>
        <w:tc>
          <w:tcPr>
            <w:tcW w:w="6520" w:type="dxa"/>
          </w:tcPr>
          <w:p w:rsidR="00CA5A86" w:rsidRPr="00D01B8F" w:rsidRDefault="00CA5A86" w:rsidP="00CA5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1должность на учреждение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Заведующий канцер-регистром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0,5 должности на учреждение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Врач-статистик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на 25 000 посещений в поликлинику</w:t>
            </w:r>
          </w:p>
          <w:p w:rsidR="00CA5A86" w:rsidRPr="00D01B8F" w:rsidRDefault="00CA5A86" w:rsidP="00CA5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для ведения популяционного канцер-регистра;</w:t>
            </w:r>
          </w:p>
          <w:p w:rsidR="00CA5A86" w:rsidRPr="00D01B8F" w:rsidRDefault="00CA5A86" w:rsidP="00CA5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для ведения больничного канцер-регистра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CA5A86" w:rsidRPr="00D01B8F" w:rsidRDefault="00CA5A86" w:rsidP="00E859AC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 xml:space="preserve">Врач-методист </w:t>
            </w: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для учреждений с коечным фондом и поликлиникой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150 коек; </w:t>
            </w:r>
          </w:p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на 300 тыс. населения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Медицинский статистик</w:t>
            </w:r>
          </w:p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>(медицинский регистратор)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1должность на 10 должностей врачей амбулаторного приема;</w:t>
            </w:r>
          </w:p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1должность на 300 тысяч населения для популяционного канцер-регистра;</w:t>
            </w:r>
          </w:p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на 1,5 тысячи пролеченных больных для больничного канцер-регистра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 xml:space="preserve">Инженер-программист 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1,5 должности инженера-программиста для ведения канцер-регистра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D01B8F">
              <w:rPr>
                <w:rStyle w:val="unnamedstyle2000018char"/>
                <w:rFonts w:ascii="Times New Roman" w:hAnsi="Times New Roman"/>
                <w:sz w:val="28"/>
                <w:szCs w:val="28"/>
              </w:rPr>
              <w:t>И</w:t>
            </w: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нженер  по компьютерным системам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1должность  на учреждение</w:t>
            </w:r>
          </w:p>
        </w:tc>
      </w:tr>
      <w:tr w:rsidR="00CA5A86" w:rsidRPr="00D01B8F" w:rsidTr="00CA5A86">
        <w:tc>
          <w:tcPr>
            <w:tcW w:w="709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CA5A86" w:rsidRPr="00D01B8F" w:rsidRDefault="00CA5A86" w:rsidP="00563655">
            <w:pPr>
              <w:spacing w:after="0" w:line="240" w:lineRule="auto"/>
              <w:rPr>
                <w:rStyle w:val="unnamedstyle2000018char"/>
                <w:rFonts w:ascii="Times New Roman" w:hAnsi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6520" w:type="dxa"/>
          </w:tcPr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на 2 врачебные должности;</w:t>
            </w:r>
          </w:p>
          <w:p w:rsidR="00CA5A86" w:rsidRPr="00D01B8F" w:rsidRDefault="00CA5A86" w:rsidP="0056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sz w:val="28"/>
                <w:szCs w:val="28"/>
              </w:rPr>
              <w:t>1 должность  на 1 врачебную должность условии ведения медицинских информационных систем (канцер-регистров, реестров, баз данных).</w:t>
            </w:r>
          </w:p>
        </w:tc>
      </w:tr>
    </w:tbl>
    <w:p w:rsidR="00144033" w:rsidRPr="00D01B8F" w:rsidRDefault="00144033" w:rsidP="00144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CC" w:rsidRPr="00D01B8F" w:rsidRDefault="00960D19" w:rsidP="00960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F">
        <w:rPr>
          <w:rFonts w:ascii="Times New Roman" w:hAnsi="Times New Roman" w:cs="Times New Roman"/>
          <w:sz w:val="28"/>
          <w:szCs w:val="28"/>
        </w:rPr>
        <w:t>7</w:t>
      </w:r>
      <w:r w:rsidR="007B5F20" w:rsidRPr="00D01B8F">
        <w:rPr>
          <w:rFonts w:ascii="Times New Roman" w:hAnsi="Times New Roman" w:cs="Times New Roman"/>
          <w:sz w:val="28"/>
          <w:szCs w:val="28"/>
        </w:rPr>
        <w:t>.</w:t>
      </w:r>
      <w:r w:rsidR="007B5F20" w:rsidRPr="00D01B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5F20" w:rsidRPr="00D01B8F">
        <w:rPr>
          <w:rFonts w:ascii="Times New Roman" w:hAnsi="Times New Roman" w:cs="Times New Roman"/>
          <w:sz w:val="28"/>
          <w:szCs w:val="28"/>
        </w:rPr>
        <w:t xml:space="preserve">ИАЦ (ОМО) оснащается оборудованием в соответствии с </w:t>
      </w:r>
      <w:r w:rsidR="00795DA2" w:rsidRPr="00D01B8F">
        <w:rPr>
          <w:rFonts w:ascii="Times New Roman" w:hAnsi="Times New Roman" w:cs="Times New Roman"/>
          <w:sz w:val="28"/>
          <w:szCs w:val="28"/>
        </w:rPr>
        <w:t>п</w:t>
      </w:r>
      <w:r w:rsidR="007B5F20" w:rsidRPr="00D01B8F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B54193" w:rsidRPr="00D01B8F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7B5F20" w:rsidRPr="00D01B8F">
        <w:rPr>
          <w:rFonts w:ascii="Times New Roman" w:hAnsi="Times New Roman" w:cs="Times New Roman"/>
          <w:sz w:val="28"/>
          <w:szCs w:val="28"/>
        </w:rPr>
        <w:t>оснащения</w:t>
      </w:r>
      <w:r w:rsidR="00B54193" w:rsidRPr="00D01B8F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центра (организационно-методического отдела) Центра</w:t>
      </w:r>
      <w:r w:rsidR="00795DA2" w:rsidRPr="00D01B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960"/>
        <w:gridCol w:w="2970"/>
      </w:tblGrid>
      <w:tr w:rsidR="00795DA2" w:rsidRPr="00017A49" w:rsidTr="00795DA2">
        <w:trPr>
          <w:trHeight w:val="4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D01B8F" w:rsidRDefault="00795DA2" w:rsidP="00F4356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D0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D01B8F" w:rsidRDefault="00795DA2" w:rsidP="00F4356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Наименование оснащения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Требуемое     </w:t>
            </w:r>
            <w:r w:rsidRPr="00D01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количество, шт.</w:t>
            </w: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795DA2" w:rsidRPr="00017A49" w:rsidTr="00795DA2">
        <w:trPr>
          <w:trHeight w:val="4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95DA2" w:rsidRPr="00017A49" w:rsidTr="00795DA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система   Республиканского (популяционного) канцер - регистра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5DA2" w:rsidRPr="00017A49" w:rsidTr="00795D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Информационно-аналитическая система        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госпитального (больничного) канцер - регистра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5DA2" w:rsidRPr="00017A49" w:rsidTr="00795DA2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Персональный компьютер                          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F7E95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36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каждого медицинского работника</w:t>
            </w:r>
          </w:p>
        </w:tc>
      </w:tr>
      <w:tr w:rsidR="00795DA2" w:rsidRPr="00017A49" w:rsidTr="00795DA2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Сервер управления инфраструктурой и        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электронными приложениями                       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ind w:left="-81"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информационную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систему</w:t>
            </w:r>
          </w:p>
        </w:tc>
      </w:tr>
      <w:tr w:rsidR="00795DA2" w:rsidRPr="00017A49" w:rsidTr="00795DA2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оргтехники                             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A2" w:rsidRPr="00017A49" w:rsidRDefault="00795DA2" w:rsidP="00F43561">
            <w:pPr>
              <w:pStyle w:val="ConsPlusCell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компьютера, но не менее 1</w:t>
            </w:r>
          </w:p>
        </w:tc>
      </w:tr>
    </w:tbl>
    <w:p w:rsidR="00795DA2" w:rsidRDefault="00795DA2" w:rsidP="00960D19">
      <w:pPr>
        <w:pStyle w:val="ConsPlusNormal"/>
        <w:ind w:firstLine="709"/>
        <w:jc w:val="both"/>
      </w:pPr>
    </w:p>
    <w:sectPr w:rsidR="00795DA2" w:rsidSect="00795D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E4" w:rsidRDefault="001718E4" w:rsidP="00960D19">
      <w:pPr>
        <w:spacing w:after="0" w:line="240" w:lineRule="auto"/>
      </w:pPr>
      <w:r>
        <w:separator/>
      </w:r>
    </w:p>
  </w:endnote>
  <w:endnote w:type="continuationSeparator" w:id="0">
    <w:p w:rsidR="001718E4" w:rsidRDefault="001718E4" w:rsidP="0096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E4" w:rsidRDefault="001718E4" w:rsidP="00960D19">
      <w:pPr>
        <w:spacing w:after="0" w:line="240" w:lineRule="auto"/>
      </w:pPr>
      <w:r>
        <w:separator/>
      </w:r>
    </w:p>
  </w:footnote>
  <w:footnote w:type="continuationSeparator" w:id="0">
    <w:p w:rsidR="001718E4" w:rsidRDefault="001718E4" w:rsidP="0096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3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0D19" w:rsidRPr="00960D19" w:rsidRDefault="00914094" w:rsidP="00960D19">
        <w:pPr>
          <w:pStyle w:val="a5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0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0D19" w:rsidRPr="00960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0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0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0D1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960D19" w:rsidRPr="00960D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0D19">
          <w:rPr>
            <w:rFonts w:ascii="Times New Roman" w:hAnsi="Times New Roman" w:cs="Times New Roman"/>
            <w:sz w:val="28"/>
            <w:szCs w:val="28"/>
          </w:rPr>
          <w:tab/>
        </w:r>
        <w:r w:rsidR="00960D19">
          <w:rPr>
            <w:rFonts w:ascii="Times New Roman" w:hAnsi="Times New Roman" w:cs="Times New Roman"/>
            <w:sz w:val="28"/>
            <w:szCs w:val="28"/>
          </w:rPr>
          <w:tab/>
        </w:r>
        <w:r w:rsidR="00960D19" w:rsidRPr="00960D19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7D0038">
          <w:rPr>
            <w:rFonts w:ascii="Times New Roman" w:hAnsi="Times New Roman" w:cs="Times New Roman"/>
            <w:sz w:val="28"/>
            <w:szCs w:val="28"/>
          </w:rPr>
          <w:t>п</w:t>
        </w:r>
        <w:r w:rsidR="00960D19" w:rsidRPr="00960D19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A134D3">
          <w:rPr>
            <w:rFonts w:ascii="Times New Roman" w:hAnsi="Times New Roman" w:cs="Times New Roman"/>
            <w:sz w:val="28"/>
            <w:szCs w:val="28"/>
          </w:rPr>
          <w:t>1</w:t>
        </w:r>
        <w:r w:rsidR="004F59D2">
          <w:rPr>
            <w:rFonts w:ascii="Times New Roman" w:hAnsi="Times New Roman" w:cs="Times New Roman"/>
            <w:sz w:val="28"/>
            <w:szCs w:val="28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3EC1"/>
    <w:multiLevelType w:val="multilevel"/>
    <w:tmpl w:val="69566B6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F20"/>
    <w:rsid w:val="000064EE"/>
    <w:rsid w:val="00015613"/>
    <w:rsid w:val="000B0F9B"/>
    <w:rsid w:val="001160FF"/>
    <w:rsid w:val="00144033"/>
    <w:rsid w:val="001718E4"/>
    <w:rsid w:val="001F05E6"/>
    <w:rsid w:val="00201697"/>
    <w:rsid w:val="002123EC"/>
    <w:rsid w:val="00212A15"/>
    <w:rsid w:val="00246742"/>
    <w:rsid w:val="002B602D"/>
    <w:rsid w:val="00393C41"/>
    <w:rsid w:val="003E2035"/>
    <w:rsid w:val="00481BD7"/>
    <w:rsid w:val="004B0E04"/>
    <w:rsid w:val="004F59D2"/>
    <w:rsid w:val="005A0924"/>
    <w:rsid w:val="005B4104"/>
    <w:rsid w:val="005D39C6"/>
    <w:rsid w:val="005D62F6"/>
    <w:rsid w:val="00601D7F"/>
    <w:rsid w:val="00620C60"/>
    <w:rsid w:val="006905AC"/>
    <w:rsid w:val="006C0492"/>
    <w:rsid w:val="0071722B"/>
    <w:rsid w:val="00795DA2"/>
    <w:rsid w:val="00796C14"/>
    <w:rsid w:val="007B5F20"/>
    <w:rsid w:val="007D0038"/>
    <w:rsid w:val="00860302"/>
    <w:rsid w:val="00881B41"/>
    <w:rsid w:val="008C503A"/>
    <w:rsid w:val="008D6DCC"/>
    <w:rsid w:val="00914094"/>
    <w:rsid w:val="00954EB8"/>
    <w:rsid w:val="00960D19"/>
    <w:rsid w:val="00967E23"/>
    <w:rsid w:val="00A134D3"/>
    <w:rsid w:val="00A727C4"/>
    <w:rsid w:val="00AD4BF7"/>
    <w:rsid w:val="00B00635"/>
    <w:rsid w:val="00B4338C"/>
    <w:rsid w:val="00B54193"/>
    <w:rsid w:val="00BC03E6"/>
    <w:rsid w:val="00BE4FF6"/>
    <w:rsid w:val="00C07DCC"/>
    <w:rsid w:val="00C53FB2"/>
    <w:rsid w:val="00C8310D"/>
    <w:rsid w:val="00CA5A86"/>
    <w:rsid w:val="00CC4AE1"/>
    <w:rsid w:val="00D01B8F"/>
    <w:rsid w:val="00D3145E"/>
    <w:rsid w:val="00E334E0"/>
    <w:rsid w:val="00E82F8B"/>
    <w:rsid w:val="00E859AC"/>
    <w:rsid w:val="00EB5B3D"/>
    <w:rsid w:val="00EB6FD4"/>
    <w:rsid w:val="00F0386D"/>
    <w:rsid w:val="00F37BCD"/>
    <w:rsid w:val="00F6750E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3A59D-BC86-46E0-B1B4-8B48EC7B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B5F2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99"/>
    <w:qFormat/>
    <w:rsid w:val="007B5F20"/>
    <w:rPr>
      <w:rFonts w:cs="Times New Roman"/>
      <w:i/>
    </w:rPr>
  </w:style>
  <w:style w:type="paragraph" w:styleId="a5">
    <w:name w:val="header"/>
    <w:basedOn w:val="a"/>
    <w:link w:val="a6"/>
    <w:uiPriority w:val="99"/>
    <w:unhideWhenUsed/>
    <w:rsid w:val="0096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D19"/>
  </w:style>
  <w:style w:type="paragraph" w:styleId="a7">
    <w:name w:val="footer"/>
    <w:basedOn w:val="a"/>
    <w:link w:val="a8"/>
    <w:uiPriority w:val="99"/>
    <w:semiHidden/>
    <w:unhideWhenUsed/>
    <w:rsid w:val="0096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D19"/>
  </w:style>
  <w:style w:type="paragraph" w:customStyle="1" w:styleId="ConsPlusCell">
    <w:name w:val="ConsPlusCell"/>
    <w:uiPriority w:val="99"/>
    <w:rsid w:val="00795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nnamedstyle2000018char">
    <w:name w:val="unnamedstyle2000018__char"/>
    <w:basedOn w:val="a0"/>
    <w:uiPriority w:val="99"/>
    <w:rsid w:val="00795DA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B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31</cp:revision>
  <cp:lastPrinted>2018-08-17T12:39:00Z</cp:lastPrinted>
  <dcterms:created xsi:type="dcterms:W3CDTF">2017-11-15T11:35:00Z</dcterms:created>
  <dcterms:modified xsi:type="dcterms:W3CDTF">2018-08-17T12:39:00Z</dcterms:modified>
</cp:coreProperties>
</file>