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Приложение 4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к Порядку государственной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регистрации лекарственных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препаратов для медицинского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применения на территории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Донецкой Народной Республики</w:t>
      </w:r>
    </w:p>
    <w:p w:rsidR="00657D9C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6237"/>
        <w:rPr>
          <w:rFonts w:ascii="Times New Roman" w:eastAsia="SimSun" w:hAnsi="Times New Roman"/>
          <w:lang w:val="ru-RU" w:eastAsia="ru-RU"/>
        </w:rPr>
      </w:pPr>
      <w:r w:rsidRPr="000D357D">
        <w:rPr>
          <w:rFonts w:ascii="Times New Roman" w:eastAsia="SimSun" w:hAnsi="Times New Roman"/>
          <w:lang w:val="ru-RU" w:eastAsia="ru-RU"/>
        </w:rPr>
        <w:t>(пункт 2.6)</w:t>
      </w:r>
    </w:p>
    <w:p w:rsidR="00B74B7F" w:rsidRPr="0083124D" w:rsidRDefault="00B74B7F" w:rsidP="0083124D">
      <w:pPr>
        <w:widowControl/>
        <w:tabs>
          <w:tab w:val="left" w:pos="709"/>
        </w:tabs>
        <w:suppressAutoHyphens w:val="0"/>
        <w:autoSpaceDN w:val="0"/>
        <w:adjustRightInd w:val="0"/>
        <w:ind w:left="6237"/>
        <w:rPr>
          <w:rFonts w:ascii="Times New Roman" w:eastAsia="SimSun" w:hAnsi="Times New Roman"/>
          <w:i/>
          <w:lang w:val="ru-RU" w:eastAsia="ru-RU"/>
        </w:rPr>
      </w:pPr>
      <w:r w:rsidRPr="0083124D">
        <w:rPr>
          <w:rFonts w:ascii="Times New Roman" w:eastAsia="SimSun" w:hAnsi="Times New Roman"/>
          <w:i/>
          <w:lang w:val="ru-RU" w:eastAsia="ru-RU"/>
        </w:rPr>
        <w:t xml:space="preserve">(в </w:t>
      </w:r>
      <w:r w:rsidR="0083124D" w:rsidRPr="0083124D">
        <w:rPr>
          <w:rFonts w:ascii="Times New Roman" w:eastAsia="SimSun" w:hAnsi="Times New Roman"/>
          <w:i/>
          <w:lang w:val="ru-RU" w:eastAsia="ru-RU"/>
        </w:rPr>
        <w:t>нов.ред. на основании</w:t>
      </w:r>
      <w:r w:rsidRPr="0083124D">
        <w:rPr>
          <w:rFonts w:ascii="Times New Roman" w:eastAsia="SimSun" w:hAnsi="Times New Roman"/>
          <w:i/>
          <w:lang w:val="ru-RU" w:eastAsia="ru-RU"/>
        </w:rPr>
        <w:t xml:space="preserve"> приказа Министерства здравоохранения </w:t>
      </w:r>
    </w:p>
    <w:p w:rsidR="00B74B7F" w:rsidRPr="0083124D" w:rsidRDefault="00B74B7F" w:rsidP="00B74B7F">
      <w:pPr>
        <w:widowControl/>
        <w:tabs>
          <w:tab w:val="left" w:pos="709"/>
        </w:tabs>
        <w:suppressAutoHyphens w:val="0"/>
        <w:autoSpaceDN w:val="0"/>
        <w:adjustRightInd w:val="0"/>
        <w:ind w:left="6237"/>
        <w:rPr>
          <w:rFonts w:ascii="Times New Roman" w:eastAsia="SimSun" w:hAnsi="Times New Roman"/>
          <w:i/>
          <w:lang w:val="ru-RU" w:eastAsia="ru-RU"/>
        </w:rPr>
      </w:pPr>
      <w:r w:rsidRPr="0083124D">
        <w:rPr>
          <w:rFonts w:ascii="Times New Roman" w:eastAsia="SimSun" w:hAnsi="Times New Roman"/>
          <w:i/>
          <w:lang w:val="ru-RU" w:eastAsia="ru-RU"/>
        </w:rPr>
        <w:t>Донецкой Народной Республики</w:t>
      </w:r>
      <w:r w:rsidR="0083124D" w:rsidRPr="0083124D">
        <w:rPr>
          <w:rFonts w:ascii="Times New Roman" w:eastAsia="SimSun" w:hAnsi="Times New Roman"/>
          <w:i/>
          <w:lang w:val="ru-RU" w:eastAsia="ru-RU"/>
        </w:rPr>
        <w:t xml:space="preserve"> </w:t>
      </w:r>
      <w:hyperlink r:id="rId6" w:history="1">
        <w:r w:rsidR="0083124D" w:rsidRPr="0083124D">
          <w:rPr>
            <w:rStyle w:val="a7"/>
            <w:rFonts w:ascii="Times New Roman" w:eastAsia="SimSun" w:hAnsi="Times New Roman"/>
            <w:i/>
            <w:lang w:val="ru-RU" w:eastAsia="ru-RU"/>
          </w:rPr>
          <w:t>от 16</w:t>
        </w:r>
        <w:r w:rsidR="0083124D">
          <w:rPr>
            <w:rStyle w:val="a7"/>
            <w:rFonts w:ascii="Times New Roman" w:eastAsia="SimSun" w:hAnsi="Times New Roman"/>
            <w:i/>
            <w:lang w:val="ru-RU" w:eastAsia="ru-RU"/>
          </w:rPr>
          <w:t>.01.</w:t>
        </w:r>
        <w:r w:rsidR="0083124D" w:rsidRPr="0083124D">
          <w:rPr>
            <w:rStyle w:val="a7"/>
            <w:rFonts w:ascii="Times New Roman" w:eastAsia="SimSun" w:hAnsi="Times New Roman"/>
            <w:i/>
            <w:lang w:val="ru-RU" w:eastAsia="ru-RU"/>
          </w:rPr>
          <w:t xml:space="preserve">2019 </w:t>
        </w:r>
        <w:bookmarkStart w:id="0" w:name="_GoBack"/>
        <w:bookmarkEnd w:id="0"/>
        <w:r w:rsidR="0083124D" w:rsidRPr="0083124D">
          <w:rPr>
            <w:rStyle w:val="a7"/>
            <w:rFonts w:ascii="Times New Roman" w:eastAsia="SimSun" w:hAnsi="Times New Roman"/>
            <w:i/>
            <w:lang w:val="ru-RU" w:eastAsia="ru-RU"/>
          </w:rPr>
          <w:t>№ 40</w:t>
        </w:r>
      </w:hyperlink>
      <w:r w:rsidR="0083124D" w:rsidRPr="0083124D">
        <w:rPr>
          <w:rFonts w:ascii="Times New Roman" w:eastAsia="SimSun" w:hAnsi="Times New Roman"/>
          <w:i/>
          <w:lang w:val="ru-RU" w:eastAsia="ru-RU"/>
        </w:rPr>
        <w:t>)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rPr>
          <w:rFonts w:ascii="Times New Roman" w:eastAsia="SimSun" w:hAnsi="Times New Roman"/>
          <w:b/>
          <w:bCs/>
          <w:lang w:val="ru-RU" w:eastAsia="ru-RU"/>
        </w:rPr>
      </w:pP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ТРЕБОВАНИЯ К ОФОРМЛЕНИЮ РЕГИСТРАЦИОННОГО ДОСЬЕ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suppressAutoHyphens w:val="0"/>
        <w:autoSpaceDN w:val="0"/>
        <w:adjustRightInd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НА ЛЕКАРСТВЕННЫЙ ПРЕПАРАТ ДЛЯ МЕДИЦИНСКОГО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autoSpaceDN w:val="0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b/>
          <w:bCs/>
          <w:sz w:val="28"/>
          <w:szCs w:val="28"/>
          <w:lang w:val="ru-RU" w:eastAsia="ru-RU"/>
        </w:rPr>
        <w:t>ПРИМЕНЕНИЯ</w:t>
      </w:r>
    </w:p>
    <w:p w:rsidR="00657D9C" w:rsidRPr="000D357D" w:rsidRDefault="00657D9C" w:rsidP="00657D9C">
      <w:pPr>
        <w:widowControl/>
        <w:tabs>
          <w:tab w:val="left" w:pos="0"/>
          <w:tab w:val="left" w:pos="709"/>
        </w:tabs>
        <w:autoSpaceDN w:val="0"/>
        <w:ind w:firstLine="709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567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Регистрационное досье на лекарственный препарат для медицинского применения представляется в формате общего технического документа, состоящего из следующих разделов:</w:t>
      </w:r>
    </w:p>
    <w:p w:rsidR="00CB764C" w:rsidRPr="000D357D" w:rsidRDefault="00CB764C" w:rsidP="00CB764C">
      <w:pPr>
        <w:widowControl/>
        <w:tabs>
          <w:tab w:val="left" w:pos="284"/>
          <w:tab w:val="left" w:pos="567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1. Раздел документации административного характера включает в себя: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заявление о государственной регистрации лекарственного препарата для медицинского применения в электронной форме и на бумажном носителе;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копию документа на русском языке,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(доверенность);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3) </w:t>
      </w:r>
      <w:r w:rsidRPr="000D357D">
        <w:rPr>
          <w:rFonts w:ascii="Times New Roman" w:hAnsi="Times New Roman"/>
          <w:sz w:val="28"/>
          <w:szCs w:val="28"/>
          <w:lang w:val="ru-RU"/>
        </w:rPr>
        <w:t>копию лицензии на производство лекарственных средств и копию заключения о соответствии производителя лекарственных средств требованиям правил организации производства и контроля качества лекарственных средств для медицинского применения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4) </w:t>
      </w:r>
      <w:r w:rsidRPr="000D357D">
        <w:rPr>
          <w:rFonts w:ascii="Times New Roman" w:hAnsi="Times New Roman"/>
          <w:sz w:val="28"/>
          <w:szCs w:val="28"/>
          <w:lang w:val="ru-RU"/>
        </w:rPr>
        <w:t>переведенная на русский язык и заверенная в установленном порядке инструкция по медицинскому применению лекарственного препарата, утвержденная в стране производителя;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5) проект инструкции по медицинскому применению лекарственного препарата.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2. Раздел химической, фармацевтической и биологической документации включает в себя документы, содержащие информацию о фармацевтической субстанции или лекарственном препарате для медицинского применения, процессе его производства и методах контроля качества,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копию документа, содержащего следующую информацию о фармацевтической субстанции в случае ее регистрации: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наименование фармацевтической субстанции, ее структура, общие свойства;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наименование и адрес производителя;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в) технология производства с описанием стадий производства и методов контроля на всех стадиях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г) описание разработки процесса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описание контроля критических стадий производства и промежуточной продукции;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процессов и (или) их оценка;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ж) характеристика примесей;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спецификация на фармацевтическую субстанцию, ее обоснование;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аналитические методики, используемые при осуществлении контроля качества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л) результаты анализа серий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м) перечень стандартных образцов или веществ, используемых при осуществлении контроля качества;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н) описание характеристик и свойств упаковочных материалов и укупорочных средств;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о) данные о стабильности фармацевтической субстанции;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п) срок годности;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документ, содержащий следующие сведения о лекарственном препарате для медицинского применения: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описание и состав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описание фармацевтической разработки (обоснование выбора состава, первичной упаковки и иного);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в) технология производства с описанием стадий производства и методов контроля на всех стадиях производства;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г) описание контроля критических стадий процесса производства и промежуточной продукции;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наименование и адрес места осуществления производства лекарственного препарата для медицинского применения (в случае наличия нескольких участников процесса производства необходимо указать каждого из них);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фармацевтическая совместимость;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ж) микробиологические характеристики;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описание характеристик и свойств упаковочных материалов и укупорочных средств;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процессов производства и (или) их оценка;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требования к качеству фармацевтических субстанций и вспомогательных веществ (спецификация и ее обоснование, сертификат);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л) аналитические методики, используемые при осуществлении контроля качества фармацевтических субстанций и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м)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фармацевтических субстанций и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н) информация об использовании вспомогательных веществ человеческого и животного происхождения;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о) информация об использовании новых вспомогательных веществ;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п) требования к качеству лекарственного препарата для медицинского применения (спецификация на лекарственный препарат и ее обоснование, сертификат);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р) аналитические методики, используемые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с) документальное подтверждение (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валидация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) аналитических методик, используемых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т) результаты анализов серий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у) характеристика примесей;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ф) перечень стандартных образцов, используемых при осуществлении контроля качества лекарственного препарата для медицинского применения;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х) данные о стабильности лекарственного препарата для медицинского применения.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ц) материальный баланс для производства серии готового продукта</w:t>
      </w:r>
      <w:r w:rsidR="00CB764C" w:rsidRPr="000D357D">
        <w:rPr>
          <w:rFonts w:ascii="Times New Roman" w:eastAsia="SimSun" w:hAnsi="Times New Roman"/>
          <w:sz w:val="28"/>
          <w:szCs w:val="28"/>
          <w:lang w:val="ru-RU" w:eastAsia="ru-RU"/>
        </w:rPr>
        <w:t>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3. Раздел фармакологической, токсикологической документации включает в себя отчеты о результатах доклинических исследований лекарственного средства для медицинского применения,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1) отчет о фармакодинамических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отчет о фармакокинетических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3) отчет о токсикологических исследованиях.</w:t>
      </w:r>
    </w:p>
    <w:p w:rsidR="00CB764C" w:rsidRPr="000D357D" w:rsidRDefault="00CB764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4. Раздел клинической документации включает в себя отчеты о результатах клинических исследований лекарственного препарата для медицинского применения, в том числе: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1) отчеты об исследованиях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биодоступности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и биоэквивалентности, исследованиях, устанавливающих корреляцию результатов, полученных в условиях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in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vitro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и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in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Pr="000D357D">
        <w:rPr>
          <w:rFonts w:ascii="Times New Roman" w:eastAsia="SimSun" w:hAnsi="Times New Roman"/>
          <w:sz w:val="28"/>
          <w:szCs w:val="28"/>
          <w:lang w:eastAsia="ru-RU"/>
        </w:rPr>
        <w:t>vivo</w:t>
      </w: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2) отчеты о фармакокинетических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3) отчеты о фармакодинамических исследованиях;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4) отчеты о клинических исследованиях эффективности и безопасности;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5) отчет о пострегистрационном опыте применения (при наличии).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lastRenderedPageBreak/>
        <w:t>Комплект документов, составляющих регистрационное досье на лекарственный препарат, должен подаваться в уполномоченный орган в следующем виде: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а) комплект документов и данных представляется в папках типа «Корона» в двух экземплярах с указанием торгового названия лекарственного препарата, международное непатентованное наименование, лекарственной формы, дозировки, организации заявителя на корешке и обложке;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б) все страницы досье должны быть подписаны уполномоченным представителем организации-заявителя, содержать заверенные копии официальных документов, 3 экземпляра проекта НД/ФСП, 3 экземпляра проекта инструкции, 3 экземпляра проектов макетов упаковки;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в) в случае если досье занимает несколько папок, то папки должны быть одного цвета, при этом на каждой папке указывается номер папки и общее количество папок по данному делу, например, «1 из 3; 2 из 3; 3 из 3»;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г) все документы представляются на белой бумаге формата A4, без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прошития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, без скрепок и не скрепленные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степлером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. Не допускается вложение документов в файлы (прозрачные файлы-вкладыши, папки вкладыши и пр.);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д) порядок представления документации определяется форматом досье, установленным настоящим Порядком;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е) в начале каждого раздела и пункта досье должен быть вложен цветной (красный, желтый, зеленый и т.д., кроме белого, и черного) бумажный лист формата A4;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ж) расположение листа книжное, поля по 2 см сверху и снизу, 3см с левой стороны и 1,5см с правой стороны. На листе сверху с выравниванием по правой стороне указывается номер раздела шрифтом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Times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New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Roman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14 кеглем, полужирным (BOLD) начертанием. Строчкой ниже указывается название раздела шрифтом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Times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New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Roman</w:t>
      </w:r>
      <w:proofErr w:type="spellEnd"/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 xml:space="preserve"> 14 кеглем, обычным начертанием. Иных надписей или пометок на данном листе не допускается;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з) все разделы должны присутствовать в досье. В случае, если информация по какому-либо разделу не может быть представлена, в данном разделе необходимо предоставить обоснование непредставления информации;</w:t>
      </w:r>
    </w:p>
    <w:p w:rsidR="00657D9C" w:rsidRPr="000D357D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и) предоставление электронной версии регистрационного досье является обязательным;</w:t>
      </w:r>
    </w:p>
    <w:p w:rsidR="00657D9C" w:rsidRPr="00CB764C" w:rsidRDefault="00657D9C" w:rsidP="00CB764C">
      <w:pPr>
        <w:widowControl/>
        <w:tabs>
          <w:tab w:val="left" w:pos="284"/>
          <w:tab w:val="left" w:pos="709"/>
        </w:tabs>
        <w:suppressAutoHyphens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0D357D">
        <w:rPr>
          <w:rFonts w:ascii="Times New Roman" w:eastAsia="SimSun" w:hAnsi="Times New Roman"/>
          <w:sz w:val="28"/>
          <w:szCs w:val="28"/>
          <w:lang w:val="ru-RU" w:eastAsia="ru-RU"/>
        </w:rPr>
        <w:t>к) в электронном варианте досье допускается представление документов без сканированной подписи.</w:t>
      </w:r>
    </w:p>
    <w:p w:rsidR="00657D9C" w:rsidRDefault="00657D9C" w:rsidP="00657D9C">
      <w:pPr>
        <w:widowControl/>
        <w:autoSpaceDN w:val="0"/>
        <w:rPr>
          <w:rFonts w:ascii="Times New Roman" w:eastAsia="Calibri" w:hAnsi="Times New Roman"/>
          <w:sz w:val="28"/>
          <w:szCs w:val="28"/>
          <w:lang w:val="ru-RU"/>
        </w:rPr>
      </w:pPr>
    </w:p>
    <w:p w:rsidR="005C1CF4" w:rsidRPr="00657D9C" w:rsidRDefault="005C1CF4">
      <w:pPr>
        <w:rPr>
          <w:lang w:val="ru-RU"/>
        </w:rPr>
      </w:pPr>
    </w:p>
    <w:sectPr w:rsidR="005C1CF4" w:rsidRPr="00657D9C" w:rsidSect="00CB76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68" w:rsidRDefault="007A6368" w:rsidP="00CB764C">
      <w:r>
        <w:separator/>
      </w:r>
    </w:p>
  </w:endnote>
  <w:endnote w:type="continuationSeparator" w:id="0">
    <w:p w:rsidR="007A6368" w:rsidRDefault="007A6368" w:rsidP="00CB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68" w:rsidRDefault="007A6368" w:rsidP="00CB764C">
      <w:r>
        <w:separator/>
      </w:r>
    </w:p>
  </w:footnote>
  <w:footnote w:type="continuationSeparator" w:id="0">
    <w:p w:rsidR="007A6368" w:rsidRDefault="007A6368" w:rsidP="00CB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838345"/>
      <w:docPartObj>
        <w:docPartGallery w:val="Page Numbers (Top of Page)"/>
        <w:docPartUnique/>
      </w:docPartObj>
    </w:sdtPr>
    <w:sdtEndPr/>
    <w:sdtContent>
      <w:p w:rsidR="00CB764C" w:rsidRDefault="00CB76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4D" w:rsidRPr="0083124D">
          <w:rPr>
            <w:noProof/>
            <w:lang w:val="ru-RU"/>
          </w:rPr>
          <w:t>2</w:t>
        </w:r>
        <w:r>
          <w:fldChar w:fldCharType="end"/>
        </w:r>
      </w:p>
    </w:sdtContent>
  </w:sdt>
  <w:p w:rsidR="00CB764C" w:rsidRDefault="00CB7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054CC5"/>
    <w:rsid w:val="000D357D"/>
    <w:rsid w:val="002825A1"/>
    <w:rsid w:val="003478B4"/>
    <w:rsid w:val="003B538F"/>
    <w:rsid w:val="004174B9"/>
    <w:rsid w:val="00497D9E"/>
    <w:rsid w:val="004D40A6"/>
    <w:rsid w:val="004E4DE8"/>
    <w:rsid w:val="005B0665"/>
    <w:rsid w:val="005B58EF"/>
    <w:rsid w:val="005C1CF4"/>
    <w:rsid w:val="005D718A"/>
    <w:rsid w:val="00657D9C"/>
    <w:rsid w:val="00672DF6"/>
    <w:rsid w:val="006A7542"/>
    <w:rsid w:val="00773BC5"/>
    <w:rsid w:val="007A6368"/>
    <w:rsid w:val="0083124D"/>
    <w:rsid w:val="00870884"/>
    <w:rsid w:val="008D1F3E"/>
    <w:rsid w:val="008D5F4C"/>
    <w:rsid w:val="008F5ADE"/>
    <w:rsid w:val="00AE5F8E"/>
    <w:rsid w:val="00B74B7F"/>
    <w:rsid w:val="00BC4DDF"/>
    <w:rsid w:val="00BF33F4"/>
    <w:rsid w:val="00C84BEE"/>
    <w:rsid w:val="00CB764C"/>
    <w:rsid w:val="00CC45FA"/>
    <w:rsid w:val="00D57201"/>
    <w:rsid w:val="00E1670B"/>
    <w:rsid w:val="00E17586"/>
    <w:rsid w:val="00E72BAD"/>
    <w:rsid w:val="00EC4E21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5D29"/>
  <w15:chartTrackingRefBased/>
  <w15:docId w15:val="{48BB33CD-2800-4065-A4D9-26E40E82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9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64C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B7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64C"/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83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4-40-201901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21</cp:revision>
  <dcterms:created xsi:type="dcterms:W3CDTF">2018-12-25T07:32:00Z</dcterms:created>
  <dcterms:modified xsi:type="dcterms:W3CDTF">2019-06-25T09:41:00Z</dcterms:modified>
</cp:coreProperties>
</file>