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Приложение 4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к Порядку государственной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регистрации лекарственных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препаратов для медицинского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применения на территории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Донецкой Народной Республики</w:t>
      </w:r>
    </w:p>
    <w:p w:rsidR="00657D9C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(пункт 2.6)</w:t>
      </w:r>
    </w:p>
    <w:p w:rsidR="00B74B7F" w:rsidRDefault="00B74B7F" w:rsidP="00B74B7F">
      <w:pPr>
        <w:widowControl/>
        <w:tabs>
          <w:tab w:val="left" w:pos="709"/>
        </w:tabs>
        <w:suppressAutoHyphens w:val="0"/>
        <w:autoSpaceDN w:val="0"/>
        <w:adjustRightInd w:val="0"/>
        <w:ind w:left="6237"/>
        <w:rPr>
          <w:rFonts w:ascii="Times New Roman" w:eastAsia="SimSun" w:hAnsi="Times New Roman"/>
          <w:lang w:val="ru-RU" w:eastAsia="ru-RU"/>
        </w:rPr>
      </w:pPr>
      <w:r>
        <w:rPr>
          <w:rFonts w:ascii="Times New Roman" w:eastAsia="SimSun" w:hAnsi="Times New Roman"/>
          <w:lang w:val="ru-RU" w:eastAsia="ru-RU"/>
        </w:rPr>
        <w:t xml:space="preserve">(в редакции приказа Министерства здравоохранения </w:t>
      </w:r>
    </w:p>
    <w:p w:rsidR="00B74B7F" w:rsidRPr="000D357D" w:rsidRDefault="00B74B7F" w:rsidP="00B74B7F">
      <w:pPr>
        <w:widowControl/>
        <w:tabs>
          <w:tab w:val="left" w:pos="709"/>
        </w:tabs>
        <w:suppressAutoHyphens w:val="0"/>
        <w:autoSpaceDN w:val="0"/>
        <w:adjustRightInd w:val="0"/>
        <w:ind w:left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Донецкой Народной Республики</w:t>
      </w:r>
      <w:r>
        <w:rPr>
          <w:rFonts w:ascii="Times New Roman" w:eastAsia="SimSun" w:hAnsi="Times New Roman"/>
          <w:lang w:val="ru-RU" w:eastAsia="ru-RU"/>
        </w:rPr>
        <w:t xml:space="preserve"> от 16 января 2019 г. № 40)».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709"/>
        <w:rPr>
          <w:rFonts w:ascii="Times New Roman" w:eastAsia="SimSun" w:hAnsi="Times New Roman"/>
          <w:b/>
          <w:bCs/>
          <w:lang w:val="ru-RU" w:eastAsia="ru-RU"/>
        </w:rPr>
      </w:pP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  <w:t>ТРЕБОВАНИЯ К ОФОРМЛЕНИЮ РЕГИСТРАЦИОННОГО ДОСЬЕ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  <w:t>НА ЛЕКАРСТВЕННЫЙ ПРЕПАРАТ ДЛЯ МЕДИЦИНСКОГО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autoSpaceDN w:val="0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  <w:t>ПРИМЕНЕНИЯ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autoSpaceDN w:val="0"/>
        <w:ind w:firstLine="709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567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Регистрационное досье на лекарственный препарат для медицинского применения представляется в формате общего технического документа, состоящего из следующих разделов:</w:t>
      </w:r>
    </w:p>
    <w:p w:rsidR="00CB764C" w:rsidRPr="000D357D" w:rsidRDefault="00CB764C" w:rsidP="00CB764C">
      <w:pPr>
        <w:widowControl/>
        <w:tabs>
          <w:tab w:val="left" w:pos="284"/>
          <w:tab w:val="left" w:pos="567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1. Раздел документации административного характера включает в себя: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1) заявление о государственной регистрации лекарственного препарата для медицинского применения в электронной форме и на бумажном носителе;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2) копию документа на русском языке,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(доверенность);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3) </w:t>
      </w:r>
      <w:r w:rsidRPr="000D357D">
        <w:rPr>
          <w:rFonts w:ascii="Times New Roman" w:hAnsi="Times New Roman"/>
          <w:sz w:val="28"/>
          <w:szCs w:val="28"/>
          <w:lang w:val="ru-RU"/>
        </w:rPr>
        <w:t>копию лицензии на производство лекарственных средств и копию заключения о соответствии производителя лекарственных средств требованиям правил организации производства и контроля качества лекарственных средств для медицинского применения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4) </w:t>
      </w:r>
      <w:r w:rsidRPr="000D357D">
        <w:rPr>
          <w:rFonts w:ascii="Times New Roman" w:hAnsi="Times New Roman"/>
          <w:sz w:val="28"/>
          <w:szCs w:val="28"/>
          <w:lang w:val="ru-RU"/>
        </w:rPr>
        <w:t>переведенная на русский язык и заверенная в установленном порядке инструкция по медицинскому применению лекарственного препарата, утвержденная в стране производителя;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5) проект инструкции по медицинскому применению лекарственного препарата.</w:t>
      </w:r>
    </w:p>
    <w:p w:rsidR="00CB764C" w:rsidRPr="000D357D" w:rsidRDefault="00CB764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2. Раздел химической, фармацевтической и биологической документации включает в себя документы, содержащие информацию о фармацевтической субстанции или лекарственном препарате для медицинского применения, процессе его производства и методах контроля качества, в том числе: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1) копию документа, содержащего следующую информацию о фармацевтической субстанции в случае ее регистрации: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а) наименование фармацевтической субстанции, ее структура, общие свойства;</w:t>
      </w:r>
      <w:bookmarkStart w:id="0" w:name="_GoBack"/>
      <w:bookmarkEnd w:id="0"/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б) наименование и адрес производителя;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lastRenderedPageBreak/>
        <w:t>в) технология производства с описанием стадий производства и методов контроля на всех стадиях производства;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г) описание разработки процесса производства;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д) описание контроля критических стадий производства и промежуточной продукции;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е)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процессов и (или) их оценка;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ж) характеристика примесей;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з) спецификация на фармацевтическую субстанцию, ее обоснование;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и) аналитические методики, используемые при осуществлении контроля качества фармацевтической субстанции;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к)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аналитических методик, используемых при осуществлении контроля качества фармацевтической субстанции;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л) результаты анализа серий фармацевтической субстанции;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м) перечень стандартных образцов или веществ, используемых при осуществлении контроля качества;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н) описание характеристик и свойств упаковочных материалов и укупорочных средств;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о) данные о стабильности фармацевтической субстанции;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п) срок годности;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2) документ, содержащий следующие сведения о лекарственном препарате для медицинского применения: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а) описание и состав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б) описание фармацевтической разработки (обоснование выбора состава, первичной упаковки и иного);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в) технология производства с описанием стадий производства и методов контроля на всех стадиях производства;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г) описание контроля критических стадий процесса производства и промежуточной продукции;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д) наименование и адрес места осуществления производства лекарственного препарата для медицинского применения (в случае наличия нескольких участников процесса производства необходимо указать каждого из них);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е) фармацевтическая совместимость;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ж) микробиологические характеристики;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з) описание характеристик и свойств упаковочных материалов и укупорочных средств;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и)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процессов производства и (или) их оценка;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к) требования к качеству фармацевтических субстанций и вспомогательных веществ (спецификация и ее обоснование, сертификат);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lastRenderedPageBreak/>
        <w:t>л) аналитические методики, используемые при осуществлении контроля качества фармацевтических субстанций и вспомогательных веществ;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м)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аналитических методик, используемых при осуществлении контроля качества фармацевтических субстанций и вспомогательных веществ;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н) информация об использовании вспомогательных веществ человеческого и животного происхождения;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о) информация об использовании новых вспомогательных веществ;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п) требования к качеству лекарственного препарата для медицинского применения (спецификация на лекарственный препарат и ее обоснование, сертификат);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р) аналитические методики, используемые при осуществлении контроля качества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с)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аналитических методик, используемых при осуществлении контроля качества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т) результаты анализов серий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у) характеристика примесей;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ф) перечень стандартных образцов, используемых при осуществлении контроля качества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х) данные о стабильности лекарственного препарата для медицинского применения.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ц) материальный баланс для производства серии готового продукта</w:t>
      </w:r>
      <w:r w:rsidR="00CB764C" w:rsidRPr="000D357D">
        <w:rPr>
          <w:rFonts w:ascii="Times New Roman" w:eastAsia="SimSun" w:hAnsi="Times New Roman"/>
          <w:sz w:val="28"/>
          <w:szCs w:val="28"/>
          <w:lang w:val="ru-RU" w:eastAsia="ru-RU"/>
        </w:rPr>
        <w:t>.</w:t>
      </w:r>
    </w:p>
    <w:p w:rsidR="00CB764C" w:rsidRPr="000D357D" w:rsidRDefault="00CB764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3. Раздел фармакологической, токсикологической документации включает в себя отчеты о результатах доклинических исследований лекарственного средства для медицинского применения, в том числе: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1) отчет о фармакодинамических исследованиях;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2) отчет о фармакокинетических исследованиях;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3) отчет о токсикологических исследованиях.</w:t>
      </w:r>
    </w:p>
    <w:p w:rsidR="00CB764C" w:rsidRPr="000D357D" w:rsidRDefault="00CB764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4. Раздел клинической документации включает в себя отчеты о результатах клинических исследований лекарственного препарата для медицинского применения, в том числе: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1) отчеты об исследованиях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биодоступности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и биоэквивалентности, исследованиях, устанавливающих корреляцию результатов, полученных в условиях </w:t>
      </w:r>
      <w:r w:rsidRPr="000D357D">
        <w:rPr>
          <w:rFonts w:ascii="Times New Roman" w:eastAsia="SimSun" w:hAnsi="Times New Roman"/>
          <w:sz w:val="28"/>
          <w:szCs w:val="28"/>
          <w:lang w:eastAsia="ru-RU"/>
        </w:rPr>
        <w:t>in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r w:rsidRPr="000D357D">
        <w:rPr>
          <w:rFonts w:ascii="Times New Roman" w:eastAsia="SimSun" w:hAnsi="Times New Roman"/>
          <w:sz w:val="28"/>
          <w:szCs w:val="28"/>
          <w:lang w:eastAsia="ru-RU"/>
        </w:rPr>
        <w:t>vitro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и </w:t>
      </w:r>
      <w:r w:rsidRPr="000D357D">
        <w:rPr>
          <w:rFonts w:ascii="Times New Roman" w:eastAsia="SimSun" w:hAnsi="Times New Roman"/>
          <w:sz w:val="28"/>
          <w:szCs w:val="28"/>
          <w:lang w:eastAsia="ru-RU"/>
        </w:rPr>
        <w:t>in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r w:rsidRPr="000D357D">
        <w:rPr>
          <w:rFonts w:ascii="Times New Roman" w:eastAsia="SimSun" w:hAnsi="Times New Roman"/>
          <w:sz w:val="28"/>
          <w:szCs w:val="28"/>
          <w:lang w:eastAsia="ru-RU"/>
        </w:rPr>
        <w:t>vivo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2) отчеты о фармакокинетических исследованиях;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3) отчеты о фармакодинамических исследованиях;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4) отчеты о клинических исследованиях эффективности и безопасности;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5) отчет о пострегистрационном опыте применения (при наличии).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lastRenderedPageBreak/>
        <w:t>Комплект документов, составляющих регистрационное досье на лекарственный препарат, должен подаваться в уполномоченный орган в следующем виде: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а) комплект документов и данных представляется в папках типа «Корона» в двух экземплярах с указанием торгового названия лекарственного препарата, международное непатентованное наименование, лекарственной формы, дозировки, организации заявителя на корешке и обложке;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б) все страницы досье должны быть подписаны уполномоченным представителем организации-заявителя, содержать заверенные копии официальных документов, 3 экземпляра проекта НД/ФСП, 3 экземпляра проекта инструкции, 3 экземпляра проектов макетов упаковки;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в) в случае если досье занимает несколько папок, то папки должны быть одного цвета, при этом на каждой папке указывается номер папки и общее количество папок по данному делу, например, «1 из 3; 2 из 3; 3 из 3»;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г) все документы представляются на белой бумаге формата A4, без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прошития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, без скрепок и не скрепленные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степлером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. Не допускается вложение документов в файлы (прозрачные файлы-вкладыши, папки вкладыши и пр.);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д) порядок представления документации определяется форматом досье, установленным настоящим Порядком;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е) в начале каждого раздела и пункта досье должен быть вложен цветной (красный, желтый, зеленый и т.д., кроме белого, и черного) бумажный лист формата A4;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ж) расположение листа книжное, поля по 2 см сверху и снизу, 3см с левой стороны и 1,5см с правой стороны. На листе сверху с выравниванием по правой стороне указывается номер раздела шрифтом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Times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New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Roman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14 кеглем, полужирным (BOLD) начертанием. Строчкой ниже указывается название раздела шрифтом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Times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New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Roman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14 кеглем, обычным начертанием. Иных надписей или пометок на данном листе не допускается;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з) все разделы должны присутствовать в досье. В случае, если информация по какому-либо разделу не может быть представлена, в данном разделе необходимо предоставить обоснование непредставления информации;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и) предоставление электронной версии регистрационного досье является обязательным;</w:t>
      </w:r>
    </w:p>
    <w:p w:rsidR="00657D9C" w:rsidRPr="00CB764C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к) в электронном варианте досье допускается представление документов без сканированной подписи.</w:t>
      </w:r>
    </w:p>
    <w:p w:rsidR="00657D9C" w:rsidRDefault="00657D9C" w:rsidP="00657D9C">
      <w:pPr>
        <w:widowControl/>
        <w:autoSpaceDN w:val="0"/>
        <w:rPr>
          <w:rFonts w:ascii="Times New Roman" w:eastAsia="Calibri" w:hAnsi="Times New Roman"/>
          <w:sz w:val="28"/>
          <w:szCs w:val="28"/>
          <w:lang w:val="ru-RU"/>
        </w:rPr>
      </w:pPr>
    </w:p>
    <w:p w:rsidR="005C1CF4" w:rsidRPr="00657D9C" w:rsidRDefault="005C1CF4">
      <w:pPr>
        <w:rPr>
          <w:lang w:val="ru-RU"/>
        </w:rPr>
      </w:pPr>
    </w:p>
    <w:sectPr w:rsidR="005C1CF4" w:rsidRPr="00657D9C" w:rsidSect="00CB76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68" w:rsidRDefault="007A6368" w:rsidP="00CB764C">
      <w:r>
        <w:separator/>
      </w:r>
    </w:p>
  </w:endnote>
  <w:endnote w:type="continuationSeparator" w:id="0">
    <w:p w:rsidR="007A6368" w:rsidRDefault="007A6368" w:rsidP="00CB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68" w:rsidRDefault="007A6368" w:rsidP="00CB764C">
      <w:r>
        <w:separator/>
      </w:r>
    </w:p>
  </w:footnote>
  <w:footnote w:type="continuationSeparator" w:id="0">
    <w:p w:rsidR="007A6368" w:rsidRDefault="007A6368" w:rsidP="00CB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838345"/>
      <w:docPartObj>
        <w:docPartGallery w:val="Page Numbers (Top of Page)"/>
        <w:docPartUnique/>
      </w:docPartObj>
    </w:sdtPr>
    <w:sdtEndPr/>
    <w:sdtContent>
      <w:p w:rsidR="00CB764C" w:rsidRDefault="00CB76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B7F" w:rsidRPr="00B74B7F">
          <w:rPr>
            <w:noProof/>
            <w:lang w:val="ru-RU"/>
          </w:rPr>
          <w:t>4</w:t>
        </w:r>
        <w:r>
          <w:fldChar w:fldCharType="end"/>
        </w:r>
      </w:p>
    </w:sdtContent>
  </w:sdt>
  <w:p w:rsidR="00CB764C" w:rsidRDefault="00CB7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F"/>
    <w:rsid w:val="00054CC5"/>
    <w:rsid w:val="000D357D"/>
    <w:rsid w:val="002825A1"/>
    <w:rsid w:val="003478B4"/>
    <w:rsid w:val="003B538F"/>
    <w:rsid w:val="004174B9"/>
    <w:rsid w:val="00497D9E"/>
    <w:rsid w:val="004D40A6"/>
    <w:rsid w:val="004E4DE8"/>
    <w:rsid w:val="005B0665"/>
    <w:rsid w:val="005B58EF"/>
    <w:rsid w:val="005C1CF4"/>
    <w:rsid w:val="005D718A"/>
    <w:rsid w:val="00657D9C"/>
    <w:rsid w:val="00672DF6"/>
    <w:rsid w:val="006A7542"/>
    <w:rsid w:val="00773BC5"/>
    <w:rsid w:val="007A6368"/>
    <w:rsid w:val="00870884"/>
    <w:rsid w:val="008D1F3E"/>
    <w:rsid w:val="008D5F4C"/>
    <w:rsid w:val="008F5ADE"/>
    <w:rsid w:val="00AE5F8E"/>
    <w:rsid w:val="00B74B7F"/>
    <w:rsid w:val="00BC4DDF"/>
    <w:rsid w:val="00BF33F4"/>
    <w:rsid w:val="00C84BEE"/>
    <w:rsid w:val="00CB764C"/>
    <w:rsid w:val="00CC45FA"/>
    <w:rsid w:val="00D57201"/>
    <w:rsid w:val="00E1670B"/>
    <w:rsid w:val="00E17586"/>
    <w:rsid w:val="00E72BAD"/>
    <w:rsid w:val="00EC4E21"/>
    <w:rsid w:val="00F17574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33CD-2800-4065-A4D9-26E40E82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9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64C"/>
    <w:rPr>
      <w:rFonts w:ascii="Times New Roman CYR" w:eastAsia="Times New Roman CYR" w:hAnsi="Times New Roman CYR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B7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64C"/>
    <w:rPr>
      <w:rFonts w:ascii="Times New Roman CYR" w:eastAsia="Times New Roman CYR" w:hAnsi="Times New Roman CYR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2018-12-25T07:32:00Z</dcterms:created>
  <dcterms:modified xsi:type="dcterms:W3CDTF">2019-01-29T07:41:00Z</dcterms:modified>
</cp:coreProperties>
</file>