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1E71A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30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B564C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B564C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B564C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B564C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</w:t>
      </w:r>
      <w:r w:rsidR="00B564C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B564C0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B564C0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1A3" w:rsidRPr="00A00E82" w:rsidRDefault="001E71A3" w:rsidP="001E71A3">
      <w:pPr>
        <w:spacing w:after="0"/>
        <w:ind w:left="-709" w:firstLine="142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ПАСПОРТ</w:t>
      </w:r>
    </w:p>
    <w:p w:rsidR="001E71A3" w:rsidRPr="00A00E82" w:rsidRDefault="001E71A3" w:rsidP="001E71A3">
      <w:pPr>
        <w:spacing w:after="0"/>
        <w:ind w:left="-426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технического состояния распределительного стального подземного газопровода</w:t>
      </w:r>
    </w:p>
    <w:p w:rsidR="001E71A3" w:rsidRPr="00A00E82" w:rsidRDefault="001E71A3" w:rsidP="001E71A3">
      <w:pPr>
        <w:spacing w:after="0"/>
        <w:ind w:left="-426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E71A3" w:rsidRPr="00A00E82" w:rsidRDefault="001E71A3" w:rsidP="001E71A3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1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. </w:t>
      </w: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Данные о предприятии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1701"/>
        <w:gridCol w:w="5858"/>
      </w:tblGrid>
      <w:tr w:rsidR="001E71A3" w:rsidRPr="00A00E82" w:rsidTr="001E71A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jc w:val="center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Название предприятия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сокращенно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5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Почтовый адрес: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Идентификационный код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Форма собственности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 xml:space="preserve">Балансодержатель 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Фамилия Имя Отчество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Адрес, телефон, факс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E71A3" w:rsidRPr="00A00E82" w:rsidTr="001E71A3"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54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4"/>
                <w:lang w:eastAsia="ru-RU"/>
              </w:rPr>
              <w:t>Дата составления паспорта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</w:tbl>
    <w:p w:rsidR="001E71A3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E71A3" w:rsidRPr="00A00E82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2. Общие сведения о газопроводе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4446"/>
        <w:gridCol w:w="1339"/>
        <w:gridCol w:w="3874"/>
      </w:tblGrid>
      <w:tr w:rsidR="001E71A3" w:rsidRPr="00A00E82" w:rsidTr="00C62ED4">
        <w:trPr>
          <w:trHeight w:val="284"/>
        </w:trPr>
        <w:tc>
          <w:tcPr>
            <w:tcW w:w="6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№ объекта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iCs/>
                <w:sz w:val="24"/>
                <w:szCs w:val="56"/>
                <w:lang w:eastAsia="ru-RU"/>
              </w:rPr>
              <w:t>Инв. №</w:t>
            </w:r>
          </w:p>
        </w:tc>
      </w:tr>
      <w:tr w:rsidR="001E71A3" w:rsidRPr="00A00E82" w:rsidTr="00C62ED4">
        <w:trPr>
          <w:trHeight w:val="284"/>
        </w:trPr>
        <w:tc>
          <w:tcPr>
            <w:tcW w:w="10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bCs/>
                <w:iCs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Название, адрес газопровода:</w:t>
            </w:r>
          </w:p>
        </w:tc>
      </w:tr>
      <w:tr w:rsidR="001E71A3" w:rsidRPr="00A00E82" w:rsidTr="00C62ED4">
        <w:trPr>
          <w:trHeight w:val="284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Назначение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Характеристика газопровода: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Давление (высокое, </w:t>
            </w:r>
            <w:r w:rsidRPr="00A00E82">
              <w:rPr>
                <w:rFonts w:ascii="Times New Roman" w:eastAsia="Batang" w:hAnsi="Times New Roman"/>
                <w:iCs/>
                <w:sz w:val="24"/>
                <w:szCs w:val="56"/>
                <w:lang w:eastAsia="ru-RU"/>
              </w:rPr>
              <w:t xml:space="preserve">среднее, 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низкое)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14557B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Длина, диаметр, толщина стенки трубы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Стандарт или технические условия на трубы и материал трубы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Год постройки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Макс. и минимальная  глубина (от верха трубы до поверхности земли)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14557B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Перечень сооружений на газопроводе:</w:t>
            </w: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14557B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Тип изоляции:</w:t>
            </w: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Отклонение от действующих норм и правил, которые возникли за период эксплуатации при строительстве</w:t>
            </w:r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Наличие средств электрозащиты газопровода (указать тип электрозащитных установок, год их ввода в эксплуатацию, защитные потенциалы (от и до)</w:t>
            </w:r>
            <w:proofErr w:type="gramEnd"/>
          </w:p>
        </w:tc>
        <w:tc>
          <w:tcPr>
            <w:tcW w:w="5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</w:tbl>
    <w:p w:rsidR="00C62ED4" w:rsidRDefault="00C62ED4">
      <w:pPr>
        <w:rPr>
          <w:rFonts w:ascii="Times New Roman" w:hAnsi="Times New Roman"/>
          <w:sz w:val="24"/>
          <w:szCs w:val="24"/>
        </w:rPr>
      </w:pPr>
    </w:p>
    <w:p w:rsidR="00C62ED4" w:rsidRPr="00C62ED4" w:rsidRDefault="00C62ED4" w:rsidP="00C62ED4">
      <w:pPr>
        <w:ind w:left="5664" w:firstLine="708"/>
        <w:rPr>
          <w:rFonts w:ascii="Times New Roman" w:hAnsi="Times New Roman"/>
          <w:sz w:val="24"/>
          <w:szCs w:val="24"/>
        </w:rPr>
      </w:pPr>
      <w:r w:rsidRPr="00C62ED4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2A007B">
        <w:rPr>
          <w:rFonts w:ascii="Times New Roman" w:hAnsi="Times New Roman"/>
          <w:sz w:val="24"/>
          <w:szCs w:val="24"/>
        </w:rPr>
        <w:t>30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4446"/>
        <w:gridCol w:w="5213"/>
      </w:tblGrid>
      <w:tr w:rsidR="001E71A3" w:rsidRPr="00A00E82" w:rsidTr="00C62ED4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jc w:val="center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Сведения о техническом состоянии газопровода, накопленные за время его эксплуатации при плановых обследованиях, авариях, ремонтах и т.д.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</w:tbl>
    <w:p w:rsidR="001E71A3" w:rsidRPr="00A00E82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E71A3" w:rsidRPr="00A00E82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3. Организация, которая провела обследование для паспортизации</w:t>
      </w:r>
    </w:p>
    <w:tbl>
      <w:tblPr>
        <w:tblW w:w="5179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81"/>
        <w:gridCol w:w="7385"/>
      </w:tblGrid>
      <w:tr w:rsidR="001E71A3" w:rsidRPr="00A00E82" w:rsidTr="001E71A3">
        <w:trPr>
          <w:trHeight w:hRule="exact" w:val="36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Название</w:t>
            </w: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hRule="exact" w:val="33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Идентификационный код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</w:tr>
    </w:tbl>
    <w:p w:rsidR="001E71A3" w:rsidRPr="00A00E82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1E71A3" w:rsidRPr="00A00E82" w:rsidRDefault="001E71A3" w:rsidP="001E71A3">
      <w:pPr>
        <w:spacing w:after="0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4. Техническое состояние газопровода и выводы относительно дальнейшей эксплуатации</w:t>
      </w:r>
    </w:p>
    <w:p w:rsidR="001E71A3" w:rsidRDefault="001E71A3" w:rsidP="001E71A3">
      <w:pPr>
        <w:spacing w:after="0"/>
        <w:ind w:left="720" w:hanging="720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E71A3" w:rsidRDefault="001E71A3" w:rsidP="001E71A3">
      <w:pPr>
        <w:spacing w:after="0"/>
        <w:ind w:left="720" w:hanging="720"/>
        <w:rPr>
          <w:rFonts w:ascii="Times New Roman" w:eastAsia="Batang" w:hAnsi="Times New Roman"/>
          <w:sz w:val="24"/>
          <w:szCs w:val="24"/>
          <w:lang w:eastAsia="ru-RU"/>
        </w:rPr>
      </w:pPr>
      <w:r w:rsidRPr="001E71A3">
        <w:rPr>
          <w:rFonts w:ascii="Times New Roman" w:eastAsia="Batang" w:hAnsi="Times New Roman"/>
          <w:sz w:val="24"/>
          <w:szCs w:val="24"/>
          <w:lang w:eastAsia="ru-RU"/>
        </w:rPr>
        <w:t>4.1 Герметичность газопровода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8"/>
        <w:gridCol w:w="3148"/>
      </w:tblGrid>
      <w:tr w:rsidR="001E71A3" w:rsidRPr="00A00E82" w:rsidTr="001E71A3">
        <w:trPr>
          <w:trHeight w:val="284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1E401F88" wp14:editId="1D067974">
                      <wp:simplePos x="0" y="0"/>
                      <wp:positionH relativeFrom="margin">
                        <wp:posOffset>17428209</wp:posOffset>
                      </wp:positionH>
                      <wp:positionV relativeFrom="paragraph">
                        <wp:posOffset>36830</wp:posOffset>
                      </wp:positionV>
                      <wp:extent cx="0" cy="2578735"/>
                      <wp:effectExtent l="0" t="0" r="19050" b="12065"/>
                      <wp:wrapNone/>
                      <wp:docPr id="262" name="Прямая соединительная линия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735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1372.3pt,2.9pt" to="1372.3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" o:allowincell="f" strokeweight="1.4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1C6E10D7" wp14:editId="4588B656">
                      <wp:simplePos x="0" y="0"/>
                      <wp:positionH relativeFrom="margin">
                        <wp:posOffset>17428209</wp:posOffset>
                      </wp:positionH>
                      <wp:positionV relativeFrom="paragraph">
                        <wp:posOffset>3072130</wp:posOffset>
                      </wp:positionV>
                      <wp:extent cx="0" cy="1298575"/>
                      <wp:effectExtent l="0" t="0" r="19050" b="15875"/>
                      <wp:wrapNone/>
                      <wp:docPr id="261" name="Прямая соединительная линия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8575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1372.3pt,241.9pt" to="1372.3pt,3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" o:allowincell="f" strokeweight="1.45pt">
                      <w10:wrap anchorx="margin"/>
                    </v:line>
                  </w:pict>
                </mc:Fallback>
              </mc:AlternateConten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1. Количество выявленных утечек газа с начала эксплуатации, учитывая данные последнего обследования, связанные с качеством сварных соединений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60"/>
                <w:lang w:eastAsia="ru-RU"/>
              </w:rPr>
              <w:t>сквозными коррозионными повреждениями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2.  Оценка герметичности газопровода в баллах, выполненная по таблице 1 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осмотра, обследования,   оценки и паспортизации технического состояния,</w:t>
            </w:r>
            <w:r w:rsidR="00145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осуществления предупредительных мер для безаварийной эксплуатации систем</w:t>
            </w:r>
            <w:r w:rsidR="00145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газоснабжения (далее </w:t>
            </w:r>
            <w:r w:rsidR="00145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Порядок обследования)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1E71A3" w:rsidRDefault="001E71A3" w:rsidP="001E71A3">
      <w:pPr>
        <w:spacing w:after="0"/>
        <w:ind w:left="720" w:hanging="720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4557B" w:rsidRDefault="001E71A3" w:rsidP="001E71A3">
      <w:pPr>
        <w:spacing w:after="0"/>
        <w:ind w:left="720" w:hanging="720"/>
        <w:rPr>
          <w:rFonts w:ascii="Times New Roman" w:eastAsia="Batang" w:hAnsi="Times New Roman"/>
          <w:sz w:val="24"/>
          <w:szCs w:val="24"/>
          <w:lang w:eastAsia="ru-RU"/>
        </w:rPr>
      </w:pPr>
      <w:r w:rsidRPr="0014557B">
        <w:rPr>
          <w:rFonts w:ascii="Times New Roman" w:eastAsia="Batang" w:hAnsi="Times New Roman"/>
          <w:sz w:val="24"/>
          <w:szCs w:val="24"/>
          <w:lang w:eastAsia="ru-RU"/>
        </w:rPr>
        <w:t>4.2. Состояние изоляционного покрытия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6559"/>
        <w:gridCol w:w="3101"/>
      </w:tblGrid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Количество мест повреждения изоляции, выявленных при приборном обследовании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Количество шурфов, где состояние изоляционного покрытия визуально проверялось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Результаты проверки изоляционного покрытия, выполненного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шурфовым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осмотром: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толщина изоляции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состояние армирующей обертки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поверхность изоляции (гладкая, сморщенная, бугристая, продавлена по бокам, снизу, сверху)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86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4.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Характер повреждений: (проколы, порезы,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расслаиваемость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, хрупкость, осыпаемость при ударе, другие механические повреждения, произошедшие за время эксплуатации)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Окончательная оценка состояния изоляционного покрытия с учетом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шурфовых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осмотров согласно табл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ицам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2 и 3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28"/>
                <w:lang w:eastAsia="ru-RU"/>
              </w:rPr>
            </w:pPr>
          </w:p>
        </w:tc>
      </w:tr>
    </w:tbl>
    <w:p w:rsidR="001E71A3" w:rsidRDefault="001E71A3" w:rsidP="001E71A3">
      <w:pPr>
        <w:spacing w:after="0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4557B" w:rsidRDefault="001E71A3" w:rsidP="001E71A3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14557B">
        <w:rPr>
          <w:rFonts w:ascii="Times New Roman" w:eastAsia="Batang" w:hAnsi="Times New Roman"/>
          <w:sz w:val="24"/>
          <w:szCs w:val="24"/>
          <w:lang w:eastAsia="ru-RU"/>
        </w:rPr>
        <w:t>4.3. Состояние металла трубы</w:t>
      </w:r>
    </w:p>
    <w:p w:rsidR="00C62ED4" w:rsidRDefault="00C62ED4">
      <w:pPr>
        <w:rPr>
          <w:rFonts w:ascii="Times New Roman" w:hAnsi="Times New Roman"/>
          <w:sz w:val="24"/>
          <w:szCs w:val="24"/>
        </w:rPr>
      </w:pPr>
    </w:p>
    <w:p w:rsidR="00C62ED4" w:rsidRPr="00C62ED4" w:rsidRDefault="002A007B" w:rsidP="00C62ED4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30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6559"/>
        <w:gridCol w:w="3101"/>
      </w:tblGrid>
      <w:tr w:rsidR="001E71A3" w:rsidRPr="00A00E82" w:rsidTr="00C62ED4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1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Количество шурфов, в которых осматривалось состояние металла трубы, в том числе шурфов, в которых обнаружена коррозия:</w:t>
            </w: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сильная -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                              ,</w:t>
            </w:r>
            <w:proofErr w:type="gramEnd"/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очень сильная -</w:t>
            </w: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                   ,</w:t>
            </w:r>
            <w:proofErr w:type="gramEnd"/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незначительная – 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56"/>
                <w:lang w:eastAsia="ru-RU"/>
              </w:rPr>
            </w:pPr>
          </w:p>
        </w:tc>
      </w:tr>
      <w:tr w:rsidR="001E71A3" w:rsidRPr="00A00E82" w:rsidTr="00C62ED4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2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Оценка состояния металла трубы выполнена согласно табл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5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56"/>
                <w:lang w:eastAsia="ru-RU"/>
              </w:rPr>
            </w:pPr>
          </w:p>
        </w:tc>
      </w:tr>
    </w:tbl>
    <w:p w:rsidR="001E71A3" w:rsidRPr="00A00E82" w:rsidRDefault="001E71A3" w:rsidP="0014557B">
      <w:pPr>
        <w:spacing w:after="0"/>
        <w:ind w:left="-42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 xml:space="preserve">Примечание.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Степень коррозии определяется согласно таблице 4 </w:t>
      </w:r>
      <w:r w:rsidR="0014557B" w:rsidRPr="00A00E82">
        <w:rPr>
          <w:rFonts w:ascii="Times New Roman" w:eastAsia="Batang" w:hAnsi="Times New Roman"/>
          <w:sz w:val="24"/>
          <w:szCs w:val="56"/>
          <w:lang w:eastAsia="ru-RU"/>
        </w:rPr>
        <w:t>прил</w:t>
      </w:r>
      <w:r w:rsidR="0014557B">
        <w:rPr>
          <w:rFonts w:ascii="Times New Roman" w:eastAsia="Batang" w:hAnsi="Times New Roman"/>
          <w:sz w:val="24"/>
          <w:szCs w:val="56"/>
          <w:lang w:eastAsia="ru-RU"/>
        </w:rPr>
        <w:t xml:space="preserve">ожения </w:t>
      </w:r>
      <w:r w:rsidR="0014557B" w:rsidRPr="00A00E82">
        <w:rPr>
          <w:rFonts w:ascii="Times New Roman" w:eastAsia="Batang" w:hAnsi="Times New Roman"/>
          <w:sz w:val="24"/>
          <w:szCs w:val="56"/>
          <w:lang w:eastAsia="ru-RU"/>
        </w:rPr>
        <w:t xml:space="preserve">33 </w:t>
      </w:r>
      <w:r w:rsidR="0014557B">
        <w:rPr>
          <w:rFonts w:ascii="Times New Roman" w:eastAsia="Batang" w:hAnsi="Times New Roman"/>
          <w:sz w:val="24"/>
          <w:szCs w:val="56"/>
          <w:lang w:eastAsia="ru-RU"/>
        </w:rPr>
        <w:t xml:space="preserve">к </w:t>
      </w:r>
      <w:r w:rsidR="0014557B" w:rsidRPr="00A00E82">
        <w:rPr>
          <w:rFonts w:ascii="Times New Roman" w:hAnsi="Times New Roman"/>
          <w:sz w:val="24"/>
          <w:szCs w:val="24"/>
        </w:rPr>
        <w:t>Порядк</w:t>
      </w:r>
      <w:r w:rsidR="0014557B">
        <w:rPr>
          <w:rFonts w:ascii="Times New Roman" w:hAnsi="Times New Roman"/>
          <w:sz w:val="24"/>
          <w:szCs w:val="24"/>
        </w:rPr>
        <w:t>у</w:t>
      </w:r>
      <w:r w:rsidR="0014557B" w:rsidRPr="00A00E8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1E71A3" w:rsidRDefault="001E71A3" w:rsidP="001E71A3">
      <w:pPr>
        <w:spacing w:after="0"/>
        <w:ind w:left="-993" w:firstLine="993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4557B" w:rsidRDefault="001E71A3" w:rsidP="001E71A3">
      <w:pPr>
        <w:spacing w:after="0"/>
        <w:ind w:left="-993" w:firstLine="993"/>
        <w:rPr>
          <w:rFonts w:ascii="Times New Roman" w:eastAsia="Batang" w:hAnsi="Times New Roman"/>
          <w:sz w:val="24"/>
          <w:szCs w:val="24"/>
          <w:lang w:eastAsia="ru-RU"/>
        </w:rPr>
      </w:pPr>
      <w:r w:rsidRPr="0014557B">
        <w:rPr>
          <w:rFonts w:ascii="Times New Roman" w:eastAsia="Batang" w:hAnsi="Times New Roman"/>
          <w:sz w:val="24"/>
          <w:szCs w:val="24"/>
          <w:lang w:eastAsia="ru-RU"/>
        </w:rPr>
        <w:t>4.4. Качество сварных стыков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7"/>
        <w:gridCol w:w="6559"/>
        <w:gridCol w:w="3100"/>
      </w:tblGrid>
      <w:tr w:rsidR="001E71A3" w:rsidRPr="00A00E82" w:rsidTr="001E71A3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Количество утечек газа, связанных с качеством сварных соединений, с начала эксплуатации газопровода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56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Количество дополнительно проверенн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ых стыков согласно требованиям пункта 4.2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Из них признаны дефектными</w:t>
            </w:r>
            <w:proofErr w:type="gramEnd"/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56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4557B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Оценка качества сварных стыков газопровода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в баллах, выполненная согласно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табл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ице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6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i/>
                <w:sz w:val="24"/>
                <w:szCs w:val="56"/>
                <w:lang w:eastAsia="ru-RU"/>
              </w:rPr>
            </w:pPr>
          </w:p>
        </w:tc>
      </w:tr>
    </w:tbl>
    <w:p w:rsidR="001E71A3" w:rsidRDefault="001E71A3" w:rsidP="001E71A3">
      <w:pPr>
        <w:spacing w:after="0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4557B" w:rsidRDefault="001E71A3" w:rsidP="001E71A3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14557B">
        <w:rPr>
          <w:rFonts w:ascii="Times New Roman" w:eastAsia="Batang" w:hAnsi="Times New Roman"/>
          <w:sz w:val="24"/>
          <w:szCs w:val="24"/>
          <w:lang w:eastAsia="ru-RU"/>
        </w:rPr>
        <w:t>4.5. Коррозионная опасность газопровода</w:t>
      </w:r>
    </w:p>
    <w:tbl>
      <w:tblPr>
        <w:tblW w:w="5179" w:type="pct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7362"/>
        <w:gridCol w:w="2298"/>
      </w:tblGrid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Коррозионная активность грунта (согласно акту службы защиты)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Вид грунта.</w:t>
            </w: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Уровень грунтовых вод.</w:t>
            </w:r>
          </w:p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Грунтовые загрязнения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pacing w:val="-4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 xml:space="preserve">Результаты измерений блуждающих токов. Величина </w:t>
            </w:r>
            <w:proofErr w:type="spellStart"/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>электропотенциалов</w:t>
            </w:r>
            <w:proofErr w:type="spellEnd"/>
            <w:r w:rsidRPr="00A00E82">
              <w:rPr>
                <w:rFonts w:ascii="Times New Roman" w:eastAsia="Batang" w:hAnsi="Times New Roman"/>
                <w:spacing w:val="-4"/>
                <w:sz w:val="24"/>
                <w:szCs w:val="56"/>
                <w:lang w:eastAsia="ru-RU"/>
              </w:rPr>
              <w:t>: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максимальная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, по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мсэ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сравнения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56"/>
                <w:lang w:eastAsia="ru-RU"/>
              </w:rPr>
            </w:pPr>
            <w:proofErr w:type="gram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минимальная</w:t>
            </w:r>
            <w:proofErr w:type="gram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, по </w:t>
            </w:r>
            <w:proofErr w:type="spellStart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мсэ</w:t>
            </w:r>
            <w:proofErr w:type="spellEnd"/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 сравнения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Длина (м) анодных и знакопеременных зон в процентах к общей длине газопровода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E71A3" w:rsidRPr="00A00E82" w:rsidTr="001E71A3">
        <w:trPr>
          <w:trHeight w:val="28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Оценка коррозионной опасности в соответствии с таблицей 8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1E71A3" w:rsidRDefault="001E71A3" w:rsidP="001E71A3">
      <w:pPr>
        <w:spacing w:after="0"/>
        <w:rPr>
          <w:rFonts w:ascii="Times New Roman" w:eastAsia="Batang" w:hAnsi="Times New Roman"/>
          <w:b/>
          <w:i/>
          <w:sz w:val="24"/>
          <w:szCs w:val="24"/>
          <w:lang w:eastAsia="ru-RU"/>
        </w:rPr>
      </w:pPr>
    </w:p>
    <w:p w:rsidR="001E71A3" w:rsidRPr="0014557B" w:rsidRDefault="001E71A3" w:rsidP="001E71A3">
      <w:pPr>
        <w:spacing w:after="0"/>
        <w:rPr>
          <w:rFonts w:ascii="Times New Roman" w:eastAsia="Batang" w:hAnsi="Times New Roman"/>
          <w:sz w:val="24"/>
          <w:szCs w:val="24"/>
          <w:lang w:eastAsia="ru-RU"/>
        </w:rPr>
      </w:pPr>
      <w:r w:rsidRPr="0014557B">
        <w:rPr>
          <w:rFonts w:ascii="Times New Roman" w:eastAsia="Batang" w:hAnsi="Times New Roman"/>
          <w:sz w:val="24"/>
          <w:szCs w:val="24"/>
          <w:lang w:eastAsia="ru-RU"/>
        </w:rPr>
        <w:t>4.6. Техническое состояние газопровода в целом</w:t>
      </w:r>
    </w:p>
    <w:tbl>
      <w:tblPr>
        <w:tblW w:w="5179" w:type="pct"/>
        <w:tblInd w:w="-38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4"/>
        <w:gridCol w:w="3102"/>
      </w:tblGrid>
      <w:tr w:rsidR="001E71A3" w:rsidRPr="00A00E82" w:rsidTr="001E71A3">
        <w:trPr>
          <w:trHeight w:val="284"/>
        </w:trPr>
        <w:tc>
          <w:tcPr>
            <w:tcW w:w="6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sz w:val="24"/>
                <w:szCs w:val="28"/>
                <w:lang w:eastAsia="ru-RU"/>
              </w:rPr>
            </w:pP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Техническое состояние газопровода (в целом) определяется по бальной системе путем суммирования оценок по каждому показателю основных критериев согласно пункту 7.1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прил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ожения </w:t>
            </w:r>
            <w:r w:rsidR="0014557B"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33 </w:t>
            </w:r>
            <w:r w:rsidR="0014557B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 xml:space="preserve">к </w:t>
            </w:r>
            <w:r w:rsidR="0014557B" w:rsidRPr="00A00E82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14557B">
              <w:rPr>
                <w:rFonts w:ascii="Times New Roman" w:hAnsi="Times New Roman"/>
                <w:sz w:val="24"/>
                <w:szCs w:val="24"/>
              </w:rPr>
              <w:t>у</w:t>
            </w:r>
            <w:r w:rsidRPr="00A00E82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  <w:r w:rsidR="00145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E82">
              <w:rPr>
                <w:rFonts w:ascii="Times New Roman" w:eastAsia="Batang" w:hAnsi="Times New Roman"/>
                <w:sz w:val="24"/>
                <w:szCs w:val="56"/>
                <w:lang w:eastAsia="ru-RU"/>
              </w:rPr>
              <w:t>(проставляется цифрами и прописью)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71A3" w:rsidRPr="00A00E82" w:rsidRDefault="001E71A3" w:rsidP="001E71A3">
            <w:pPr>
              <w:shd w:val="clear" w:color="auto" w:fill="FFFFFF"/>
              <w:spacing w:after="0"/>
              <w:rPr>
                <w:rFonts w:ascii="Times New Roman" w:eastAsia="Batang" w:hAnsi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1E71A3" w:rsidRPr="00A00E82" w:rsidRDefault="001E71A3" w:rsidP="001E71A3">
      <w:pPr>
        <w:shd w:val="clear" w:color="auto" w:fill="FFFFFF"/>
        <w:spacing w:after="0"/>
        <w:rPr>
          <w:rFonts w:ascii="Times New Roman" w:eastAsia="Batang" w:hAnsi="Times New Roman"/>
          <w:sz w:val="24"/>
          <w:szCs w:val="62"/>
          <w:lang w:eastAsia="ru-RU"/>
        </w:rPr>
      </w:pPr>
    </w:p>
    <w:p w:rsidR="00C62ED4" w:rsidRDefault="00C62ED4" w:rsidP="001E71A3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62"/>
          <w:lang w:eastAsia="ru-RU"/>
        </w:rPr>
      </w:pPr>
    </w:p>
    <w:p w:rsidR="00C62ED4" w:rsidRDefault="00C62ED4" w:rsidP="001E71A3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62"/>
          <w:lang w:eastAsia="ru-RU"/>
        </w:rPr>
      </w:pPr>
      <w:r>
        <w:rPr>
          <w:rFonts w:ascii="Times New Roman" w:eastAsia="Batang" w:hAnsi="Times New Roman"/>
          <w:sz w:val="24"/>
          <w:szCs w:val="62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>
        <w:rPr>
          <w:rFonts w:ascii="Times New Roman" w:eastAsia="Batang" w:hAnsi="Times New Roman"/>
          <w:sz w:val="24"/>
          <w:szCs w:val="62"/>
          <w:lang w:eastAsia="ru-RU"/>
        </w:rPr>
        <w:tab/>
      </w:r>
      <w:r w:rsidR="002A007B">
        <w:rPr>
          <w:rFonts w:ascii="Times New Roman" w:eastAsia="Batang" w:hAnsi="Times New Roman"/>
          <w:sz w:val="24"/>
          <w:szCs w:val="62"/>
          <w:lang w:eastAsia="ru-RU"/>
        </w:rPr>
        <w:t>Продолжение приложения 30</w:t>
      </w:r>
      <w:bookmarkStart w:id="0" w:name="_GoBack"/>
      <w:bookmarkEnd w:id="0"/>
    </w:p>
    <w:p w:rsidR="001E71A3" w:rsidRDefault="001E71A3" w:rsidP="001E71A3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62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62"/>
          <w:lang w:eastAsia="ru-RU"/>
        </w:rPr>
        <w:t xml:space="preserve">Дополнительные данные  </w:t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62"/>
          <w:u w:val="single"/>
          <w:lang w:eastAsia="ru-RU"/>
        </w:rPr>
        <w:tab/>
      </w:r>
    </w:p>
    <w:p w:rsidR="0014557B" w:rsidRDefault="0014557B" w:rsidP="001E71A3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1E71A3">
      <w:pPr>
        <w:shd w:val="clear" w:color="auto" w:fill="FFFFFF"/>
        <w:tabs>
          <w:tab w:val="left" w:leader="underscore" w:pos="-993"/>
        </w:tabs>
        <w:spacing w:after="0"/>
        <w:ind w:right="-427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Предложения по дальнейшей эксплуатации</w:t>
      </w:r>
    </w:p>
    <w:tbl>
      <w:tblPr>
        <w:tblW w:w="5105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2"/>
      </w:tblGrid>
      <w:tr w:rsidR="002F182F" w:rsidRPr="00A00E82" w:rsidTr="00AD729E">
        <w:trPr>
          <w:trHeight w:val="11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2F" w:rsidRPr="00A00E82" w:rsidRDefault="002F182F" w:rsidP="001E71A3">
            <w:pPr>
              <w:shd w:val="clear" w:color="auto" w:fill="FFFFFF"/>
              <w:spacing w:after="0"/>
              <w:ind w:firstLine="680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F182F" w:rsidRPr="00A00E82" w:rsidRDefault="002F182F" w:rsidP="001E71A3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1E71A3">
      <w:pPr>
        <w:shd w:val="clear" w:color="auto" w:fill="FFFFFF"/>
        <w:spacing w:after="0"/>
        <w:ind w:left="1416" w:hanging="1813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Балансодержатель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1E71A3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(Ф.И.О)</w:t>
      </w:r>
    </w:p>
    <w:p w:rsidR="002F182F" w:rsidRPr="00A00E82" w:rsidRDefault="002F182F" w:rsidP="001E71A3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группы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F182F" w:rsidRPr="00A00E82" w:rsidRDefault="002F182F" w:rsidP="001E71A3">
      <w:pPr>
        <w:shd w:val="clear" w:color="auto" w:fill="FFFFFF"/>
        <w:spacing w:after="0"/>
        <w:ind w:left="-993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      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(Ф.И.О)</w:t>
      </w:r>
    </w:p>
    <w:p w:rsidR="002F182F" w:rsidRDefault="002F182F" w:rsidP="001E71A3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Default="002F182F" w:rsidP="001E71A3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Составил:</w:t>
      </w:r>
    </w:p>
    <w:p w:rsidR="002F182F" w:rsidRPr="00A00E82" w:rsidRDefault="002F182F" w:rsidP="001E71A3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</w:p>
    <w:p w:rsidR="002F182F" w:rsidRPr="00A00E82" w:rsidRDefault="002F182F" w:rsidP="001E71A3">
      <w:pPr>
        <w:shd w:val="clear" w:color="auto" w:fill="FFFFFF"/>
        <w:spacing w:after="0"/>
        <w:ind w:left="-993" w:firstLine="596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Проверил:</w:t>
      </w:r>
    </w:p>
    <w:p w:rsidR="002F182F" w:rsidRPr="00A00E82" w:rsidRDefault="002F182F" w:rsidP="001E71A3">
      <w:pPr>
        <w:shd w:val="clear" w:color="auto" w:fill="FFFFFF"/>
        <w:spacing w:after="0"/>
        <w:ind w:left="-709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</w:p>
    <w:p w:rsidR="006A4970" w:rsidRPr="00A00E82" w:rsidRDefault="002F182F" w:rsidP="001E71A3">
      <w:pPr>
        <w:shd w:val="clear" w:color="auto" w:fill="FFFFFF"/>
        <w:spacing w:after="0"/>
        <w:ind w:left="-709" w:firstLine="31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  <w:t>"____" ________  20__г.</w:t>
      </w:r>
    </w:p>
    <w:sectPr w:rsidR="006A4970" w:rsidRPr="00A00E82" w:rsidSect="00C62E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D4" w:rsidRDefault="00C62ED4" w:rsidP="00C62ED4">
      <w:pPr>
        <w:spacing w:after="0" w:line="240" w:lineRule="auto"/>
      </w:pPr>
      <w:r>
        <w:separator/>
      </w:r>
    </w:p>
  </w:endnote>
  <w:endnote w:type="continuationSeparator" w:id="0">
    <w:p w:rsidR="00C62ED4" w:rsidRDefault="00C62ED4" w:rsidP="00C6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D4" w:rsidRDefault="00C62ED4" w:rsidP="00C62ED4">
      <w:pPr>
        <w:spacing w:after="0" w:line="240" w:lineRule="auto"/>
      </w:pPr>
      <w:r>
        <w:separator/>
      </w:r>
    </w:p>
  </w:footnote>
  <w:footnote w:type="continuationSeparator" w:id="0">
    <w:p w:rsidR="00C62ED4" w:rsidRDefault="00C62ED4" w:rsidP="00C6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88344"/>
      <w:docPartObj>
        <w:docPartGallery w:val="Page Numbers (Top of Page)"/>
        <w:docPartUnique/>
      </w:docPartObj>
    </w:sdtPr>
    <w:sdtEndPr/>
    <w:sdtContent>
      <w:p w:rsidR="00C62ED4" w:rsidRDefault="00C62E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07B">
          <w:rPr>
            <w:noProof/>
          </w:rPr>
          <w:t>4</w:t>
        </w:r>
        <w:r>
          <w:fldChar w:fldCharType="end"/>
        </w:r>
      </w:p>
    </w:sdtContent>
  </w:sdt>
  <w:p w:rsidR="00C62ED4" w:rsidRDefault="00C62E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2639A"/>
    <w:rsid w:val="00065F6D"/>
    <w:rsid w:val="00123B60"/>
    <w:rsid w:val="0014557B"/>
    <w:rsid w:val="001465EB"/>
    <w:rsid w:val="00164BC9"/>
    <w:rsid w:val="00184EFB"/>
    <w:rsid w:val="00186F46"/>
    <w:rsid w:val="00195262"/>
    <w:rsid w:val="001E71A3"/>
    <w:rsid w:val="002565DC"/>
    <w:rsid w:val="00265CEA"/>
    <w:rsid w:val="00277CFF"/>
    <w:rsid w:val="00293F51"/>
    <w:rsid w:val="00295B2F"/>
    <w:rsid w:val="002A007B"/>
    <w:rsid w:val="002B6FFB"/>
    <w:rsid w:val="002D364C"/>
    <w:rsid w:val="002E2800"/>
    <w:rsid w:val="002F182F"/>
    <w:rsid w:val="00330E01"/>
    <w:rsid w:val="00331A6B"/>
    <w:rsid w:val="0034691A"/>
    <w:rsid w:val="003662D1"/>
    <w:rsid w:val="003708B1"/>
    <w:rsid w:val="003B5BB9"/>
    <w:rsid w:val="003D0300"/>
    <w:rsid w:val="00421B28"/>
    <w:rsid w:val="00483FC9"/>
    <w:rsid w:val="00491792"/>
    <w:rsid w:val="004D2C18"/>
    <w:rsid w:val="004D5AF7"/>
    <w:rsid w:val="005502FF"/>
    <w:rsid w:val="005653C1"/>
    <w:rsid w:val="00597140"/>
    <w:rsid w:val="005B260C"/>
    <w:rsid w:val="005D3035"/>
    <w:rsid w:val="005F27B3"/>
    <w:rsid w:val="006000FE"/>
    <w:rsid w:val="00610AF1"/>
    <w:rsid w:val="0061667D"/>
    <w:rsid w:val="00625C6E"/>
    <w:rsid w:val="0065055C"/>
    <w:rsid w:val="0067583B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7D83"/>
    <w:rsid w:val="00A64623"/>
    <w:rsid w:val="00A661BB"/>
    <w:rsid w:val="00AD729E"/>
    <w:rsid w:val="00B14C9D"/>
    <w:rsid w:val="00B32B76"/>
    <w:rsid w:val="00B35600"/>
    <w:rsid w:val="00B564C0"/>
    <w:rsid w:val="00B5715C"/>
    <w:rsid w:val="00BA1224"/>
    <w:rsid w:val="00BE72A8"/>
    <w:rsid w:val="00BF305B"/>
    <w:rsid w:val="00C13635"/>
    <w:rsid w:val="00C21A04"/>
    <w:rsid w:val="00C23051"/>
    <w:rsid w:val="00C40E7F"/>
    <w:rsid w:val="00C62ED4"/>
    <w:rsid w:val="00C7595C"/>
    <w:rsid w:val="00C93580"/>
    <w:rsid w:val="00D27B6A"/>
    <w:rsid w:val="00D56A78"/>
    <w:rsid w:val="00D60660"/>
    <w:rsid w:val="00D9418A"/>
    <w:rsid w:val="00DB0216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E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E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6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81D4-735D-4EFA-BB30-4746E0F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7</cp:revision>
  <dcterms:created xsi:type="dcterms:W3CDTF">2019-08-08T06:54:00Z</dcterms:created>
  <dcterms:modified xsi:type="dcterms:W3CDTF">2019-09-12T11:57:00Z</dcterms:modified>
</cp:coreProperties>
</file>