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43F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="00C7664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275821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27582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</w:t>
      </w:r>
      <w:r w:rsidR="00275821" w:rsidRPr="0027582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6.1</w:t>
      </w:r>
      <w:r w:rsidR="00E45DC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 5.6.2,</w:t>
      </w:r>
      <w:r w:rsidR="00275821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275821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E45DC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 пункт 7.1.2, 7.4, 7.6, 7.7, 7.8, раздел</w:t>
      </w:r>
      <w:r w:rsidR="00AF7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а</w:t>
      </w:r>
      <w:bookmarkStart w:id="0" w:name="_GoBack"/>
      <w:bookmarkEnd w:id="0"/>
      <w:r w:rsidR="00E45DC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E45DC4" w:rsidRPr="00E45DC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V</w:t>
      </w:r>
      <w:r w:rsidR="00E45DC4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 xml:space="preserve">І, пункт 9.2 </w:t>
      </w:r>
      <w:proofErr w:type="spellStart"/>
      <w:r w:rsidR="00E45DC4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раздела</w:t>
      </w:r>
      <w:proofErr w:type="spellEnd"/>
      <w:r w:rsidR="00E45DC4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 xml:space="preserve"> ІХ</w:t>
      </w:r>
      <w:r w:rsidR="00275821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840740">
      <w:pPr>
        <w:pStyle w:val="a3"/>
        <w:shd w:val="clear" w:color="auto" w:fill="FFFFFF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4D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технического состояния газопроводов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64D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1. </w:t>
      </w:r>
      <w:r w:rsidRPr="00C7664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герметичности газопроводов.</w:t>
      </w:r>
    </w:p>
    <w:p w:rsidR="00567E8B" w:rsidRPr="00567E8B" w:rsidRDefault="00567E8B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7664D" w:rsidRDefault="00C7664D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герметичности газопроводов следует осуществлять с помощью высокочувствительных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газоиндикаторов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чувствительностью не менее 0,001% . При возможности отключения газопровода от сети допускается проведение проверки герметичности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опрессовкой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воздухом соглас</w:t>
      </w:r>
      <w:r w:rsidR="00A45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требованиям СНиП 3.05.02-88 «Газоснабжение».</w:t>
      </w:r>
    </w:p>
    <w:p w:rsidR="00567E8B" w:rsidRPr="00567E8B" w:rsidRDefault="00567E8B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состояния герметичности газопроводов должны учитываться утечки газа, связанные </w:t>
      </w:r>
      <w:proofErr w:type="gram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664D" w:rsidRPr="00A00E82" w:rsidRDefault="00C7664D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7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коррозионными повреждениями металла труб;</w:t>
      </w:r>
    </w:p>
    <w:p w:rsidR="00C7664D" w:rsidRPr="00A00E82" w:rsidRDefault="00C7664D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7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раскрытием или разрывом сварных стыков (стальных или полиэтиленовых газопроводов), выявленные в период эксплуатации, включая и заключительное обследование.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не должны учитываться утечки газа, вызванные механическими повреждениями газопровода во время строительных или ремонтных работ, которые проводились вблизи газопровода, и те, которые имеют эпизодический характер и не связаны с общим ухудшением технического состояния газопровода и утечками газа, которые произошли за время эксплуатации вследствие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неплотности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повреждения в арматуре, компенсаторах, узлах и деталях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конденсатосборников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сооружениях на газопроводах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, а также после возникновения чрезвычайных ситуаций (стихийные бедствия, оползни грунта, аварии и др.).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Оценка герметичности газопроводов проводится в соответствии с таблицей 1.</w:t>
      </w:r>
    </w:p>
    <w:p w:rsidR="00C7664D" w:rsidRPr="00567E8B" w:rsidRDefault="00C7664D" w:rsidP="00567E8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5"/>
        <w:gridCol w:w="2139"/>
      </w:tblGrid>
      <w:tr w:rsidR="00C7664D" w:rsidRPr="00A00E82" w:rsidTr="00567E8B">
        <w:tc>
          <w:tcPr>
            <w:tcW w:w="8188" w:type="dxa"/>
          </w:tcPr>
          <w:p w:rsidR="00C7664D" w:rsidRPr="00A00E82" w:rsidRDefault="00C7664D" w:rsidP="00567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Случаи утечек газа, связанные с коррозионными  повреждениями или повреждениями сварных стыков, которые возникли с начала эксплуатации на каждом  километре обследуемого газопровода (с  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учетом</w:t>
            </w:r>
            <w:proofErr w:type="gramEnd"/>
            <w:r w:rsidR="00567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обнаруженных  при обследовании)</w:t>
            </w:r>
          </w:p>
        </w:tc>
        <w:tc>
          <w:tcPr>
            <w:tcW w:w="2233" w:type="dxa"/>
          </w:tcPr>
          <w:p w:rsidR="00C7664D" w:rsidRPr="00A00E82" w:rsidRDefault="00C7664D" w:rsidP="00567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C7664D" w:rsidRPr="00A00E82" w:rsidTr="00567E8B">
        <w:tc>
          <w:tcPr>
            <w:tcW w:w="8188" w:type="dxa"/>
          </w:tcPr>
          <w:p w:rsidR="00C7664D" w:rsidRPr="00A00E82" w:rsidRDefault="00C7664D" w:rsidP="00567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</w:t>
            </w:r>
          </w:p>
        </w:tc>
        <w:tc>
          <w:tcPr>
            <w:tcW w:w="2233" w:type="dxa"/>
          </w:tcPr>
          <w:p w:rsidR="00C7664D" w:rsidRPr="00A00E82" w:rsidRDefault="00C7664D" w:rsidP="0056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64D" w:rsidRPr="00A00E82" w:rsidTr="00567E8B">
        <w:tc>
          <w:tcPr>
            <w:tcW w:w="8188" w:type="dxa"/>
          </w:tcPr>
          <w:p w:rsidR="00C7664D" w:rsidRPr="00A00E82" w:rsidRDefault="00C7664D" w:rsidP="00567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 до 2 включительно</w:t>
            </w:r>
          </w:p>
        </w:tc>
        <w:tc>
          <w:tcPr>
            <w:tcW w:w="2233" w:type="dxa"/>
          </w:tcPr>
          <w:p w:rsidR="00C7664D" w:rsidRPr="00A00E82" w:rsidRDefault="00C7664D" w:rsidP="0056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64D" w:rsidRPr="00A00E82" w:rsidTr="00567E8B">
        <w:tc>
          <w:tcPr>
            <w:tcW w:w="8188" w:type="dxa"/>
          </w:tcPr>
          <w:p w:rsidR="00C7664D" w:rsidRPr="00A00E82" w:rsidRDefault="00C7664D" w:rsidP="00567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C7664D" w:rsidRPr="00A00E82" w:rsidRDefault="00C7664D" w:rsidP="0056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64D" w:rsidRPr="00A00E82" w:rsidTr="00567E8B">
        <w:tc>
          <w:tcPr>
            <w:tcW w:w="8188" w:type="dxa"/>
          </w:tcPr>
          <w:p w:rsidR="00C7664D" w:rsidRPr="00A00E82" w:rsidRDefault="00C7664D" w:rsidP="00567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3" w:type="dxa"/>
          </w:tcPr>
          <w:p w:rsidR="00C7664D" w:rsidRPr="00A00E82" w:rsidRDefault="00C7664D" w:rsidP="0056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герметичности газопровода, который обследуется, определяется как среднее арифметическое значений оценок, полученных для каждого километрового участка, методом интерполяции - в случае, когда участки газопровода не кратные 1 км. В случаях, когда длина участка менее 1 км, оценка (в баллах) определяется путем приведения количества случаев утечек к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длине, равной 1 км.</w:t>
      </w:r>
    </w:p>
    <w:p w:rsidR="00E45DC4" w:rsidRDefault="00E45DC4" w:rsidP="00E45DC4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33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Например, длина проверяемого газопровода составляет 700 м, на нем была обнаружена одна утечка, следовательно, количество утечек, приведенных к длине 1000 м, составляет 1х1000/700 = 1,4, то есть этой величине в табл.1 соответствует оценка 2 балла.</w:t>
      </w:r>
    </w:p>
    <w:p w:rsidR="00C7664D" w:rsidRDefault="00C7664D" w:rsidP="00567E8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2. </w:t>
      </w:r>
      <w:r w:rsidRPr="00C7664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антикоррозионного изоляционного покрытия.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Основными критериями оценки состояния антикоррозионного изоляционного покрытия газопровода является количество, размер и характер повреждений.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Дефекты в зависимости от характера повреждений изоляционного покрытия, следует различать по двум группам: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i/>
          <w:sz w:val="24"/>
          <w:szCs w:val="24"/>
          <w:lang w:eastAsia="ru-RU"/>
        </w:rPr>
        <w:t>первая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дефекты, которые произошли в период строительства от механических повреждений при транспортировке и монтаже газопроводов или некачественном устройстве подготовки постели под газопровод;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i/>
          <w:sz w:val="24"/>
          <w:szCs w:val="24"/>
          <w:lang w:eastAsia="ru-RU"/>
        </w:rPr>
        <w:t>вторая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дефекты, которые произошли в процессе эксплуатации вследствие механического и химического воздействия почвы, грунтовых и других вод, а также дефекты, связанные с нарушением технологии при приготовлении и нанесении покрытий (отсутствие адгезии вследствие нарушения технологических режимов или некачественной очистки поверхности трубы, нарушение технологии приготовления мастики и пр.).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Дефекты первой группы, как правило, полностью ликвидируются при ремонте покрытия и существенно не влияют на техническое состояние изоляционного покрытия в целом.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Дефекты второй группы более опасные и, как правило, восстановление первоначальных свойств покрытия с этими дефектами невозможно. Участки газопровода с дефектами второй группы требуют полной замены изоляционного покрытия.</w:t>
      </w:r>
    </w:p>
    <w:p w:rsid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567E8B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2.2. 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изоляционного покрытия должна производить</w:t>
      </w:r>
      <w:r w:rsidR="00567E8B">
        <w:rPr>
          <w:rFonts w:ascii="Times New Roman" w:eastAsia="Times New Roman" w:hAnsi="Times New Roman"/>
          <w:sz w:val="24"/>
          <w:szCs w:val="24"/>
          <w:lang w:eastAsia="ru-RU"/>
        </w:rPr>
        <w:t>ся в два этапа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7664D" w:rsidRPr="00A00E82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E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7664D" w:rsidRPr="00F11EB8">
        <w:rPr>
          <w:rFonts w:ascii="Times New Roman" w:eastAsia="Times New Roman" w:hAnsi="Times New Roman"/>
          <w:sz w:val="24"/>
          <w:szCs w:val="24"/>
          <w:lang w:eastAsia="ru-RU"/>
        </w:rPr>
        <w:t>ервый этап заключается в определении количества повреждений изоляционного</w:t>
      </w:r>
      <w:r w:rsidR="00C7664D"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покрытия приборным методом без раскрытия газопроводов, а также при раскрытии газопроводов в шурфах, траншеях и прочее. </w:t>
      </w:r>
      <w:proofErr w:type="spellStart"/>
      <w:r w:rsidR="00C7664D" w:rsidRPr="00A00E82">
        <w:rPr>
          <w:rFonts w:ascii="Times New Roman" w:eastAsia="Times New Roman" w:hAnsi="Times New Roman"/>
          <w:sz w:val="24"/>
          <w:szCs w:val="24"/>
          <w:lang w:eastAsia="ru-RU"/>
        </w:rPr>
        <w:t>Надтрассовое</w:t>
      </w:r>
      <w:proofErr w:type="spellEnd"/>
      <w:r w:rsidR="00C7664D"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состояния изоляционного защитного покрытия осуществляется приборами АНПИ, ИПИТ, Спрут, АППК и т. д</w:t>
      </w:r>
      <w:proofErr w:type="gramStart"/>
      <w:r w:rsidR="00C7664D" w:rsidRPr="00A00E8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количества выявленных на каждые 100 м газопровода мест повреждений изоляции производится оценка в баллах состояния изоляционного покрытия в соответствии с таблицей 2.</w:t>
      </w:r>
    </w:p>
    <w:p w:rsidR="00C7664D" w:rsidRPr="00567E8B" w:rsidRDefault="00C7664D" w:rsidP="00567E8B">
      <w:pPr>
        <w:shd w:val="clear" w:color="auto" w:fill="FFFFFF"/>
        <w:spacing w:after="0"/>
        <w:ind w:left="-142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  <w:t>Таблица 2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162"/>
        <w:gridCol w:w="2477"/>
      </w:tblGrid>
      <w:tr w:rsidR="00C7664D" w:rsidRPr="00A00E82" w:rsidTr="00567E8B">
        <w:tc>
          <w:tcPr>
            <w:tcW w:w="7162" w:type="dxa"/>
          </w:tcPr>
          <w:p w:rsidR="00C7664D" w:rsidRPr="00A00E82" w:rsidRDefault="00C7664D" w:rsidP="00567E8B">
            <w:pPr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Количество мест повреждений изоляции, выявленных приборами при проверке газопровода без вскрытия грунта на каждом стометровом участке </w:t>
            </w:r>
          </w:p>
        </w:tc>
        <w:tc>
          <w:tcPr>
            <w:tcW w:w="2477" w:type="dxa"/>
          </w:tcPr>
          <w:p w:rsidR="00C7664D" w:rsidRPr="00A00E82" w:rsidRDefault="00C7664D" w:rsidP="00567E8B">
            <w:pPr>
              <w:ind w:left="-142" w:firstLine="14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на каждом</w:t>
            </w:r>
          </w:p>
          <w:p w:rsidR="00C7664D" w:rsidRPr="00A00E82" w:rsidRDefault="00C7664D" w:rsidP="00567E8B">
            <w:pPr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стометровом </w:t>
            </w:r>
            <w:proofErr w:type="gramStart"/>
            <w:r w:rsidRPr="00A00E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участке</w:t>
            </w:r>
            <w:proofErr w:type="gramEnd"/>
          </w:p>
        </w:tc>
      </w:tr>
      <w:tr w:rsidR="00C7664D" w:rsidRPr="00A00E82" w:rsidTr="00567E8B">
        <w:tc>
          <w:tcPr>
            <w:tcW w:w="7162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</w:t>
            </w:r>
          </w:p>
        </w:tc>
        <w:tc>
          <w:tcPr>
            <w:tcW w:w="2477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64D" w:rsidRPr="00A00E82" w:rsidTr="00567E8B">
        <w:tc>
          <w:tcPr>
            <w:tcW w:w="7162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477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64D" w:rsidRPr="00A00E82" w:rsidTr="00567E8B">
        <w:tc>
          <w:tcPr>
            <w:tcW w:w="7162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8</w:t>
            </w:r>
          </w:p>
        </w:tc>
        <w:tc>
          <w:tcPr>
            <w:tcW w:w="2477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64D" w:rsidRPr="00A00E82" w:rsidTr="00567E8B">
        <w:tc>
          <w:tcPr>
            <w:tcW w:w="7162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8</w:t>
            </w:r>
          </w:p>
        </w:tc>
        <w:tc>
          <w:tcPr>
            <w:tcW w:w="2477" w:type="dxa"/>
          </w:tcPr>
          <w:p w:rsidR="00C7664D" w:rsidRPr="00A00E82" w:rsidRDefault="00C7664D" w:rsidP="00567E8B">
            <w:pPr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64D" w:rsidRPr="00A00E82" w:rsidRDefault="00C7664D" w:rsidP="00567E8B">
      <w:pPr>
        <w:pStyle w:val="HTML"/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Оценка в целом состояния изоляционного покрытия газопровода должна проводиться в соответствии с таблицей 3.</w:t>
      </w:r>
    </w:p>
    <w:p w:rsidR="00C7664D" w:rsidRDefault="00C7664D" w:rsidP="00567E8B">
      <w:pPr>
        <w:pStyle w:val="HTML"/>
        <w:shd w:val="clear" w:color="auto" w:fill="FFFFFF"/>
        <w:ind w:left="-142" w:firstLine="142"/>
        <w:rPr>
          <w:rFonts w:ascii="Times New Roman" w:hAnsi="Times New Roman" w:cs="Times New Roman"/>
          <w:sz w:val="23"/>
          <w:szCs w:val="23"/>
        </w:rPr>
      </w:pP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</w:r>
      <w:r w:rsidRPr="00567E8B">
        <w:rPr>
          <w:rFonts w:ascii="Times New Roman" w:hAnsi="Times New Roman" w:cs="Times New Roman"/>
          <w:sz w:val="23"/>
          <w:szCs w:val="23"/>
        </w:rPr>
        <w:tab/>
        <w:t>Таблица 3</w:t>
      </w:r>
    </w:p>
    <w:p w:rsidR="00E45DC4" w:rsidRDefault="00E45DC4" w:rsidP="00567E8B">
      <w:pPr>
        <w:pStyle w:val="HTML"/>
        <w:shd w:val="clear" w:color="auto" w:fill="FFFFFF"/>
        <w:ind w:left="-142" w:firstLine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E45DC4">
        <w:rPr>
          <w:rFonts w:ascii="Times New Roman" w:hAnsi="Times New Roman" w:cs="Times New Roman"/>
          <w:sz w:val="23"/>
          <w:szCs w:val="23"/>
        </w:rPr>
        <w:t>Продолжение приложения 33</w:t>
      </w:r>
    </w:p>
    <w:p w:rsidR="00E45DC4" w:rsidRPr="00567E8B" w:rsidRDefault="00E45DC4" w:rsidP="00567E8B">
      <w:pPr>
        <w:pStyle w:val="HTML"/>
        <w:shd w:val="clear" w:color="auto" w:fill="FFFFFF"/>
        <w:ind w:left="-142" w:firstLine="142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03"/>
        <w:gridCol w:w="3043"/>
        <w:gridCol w:w="2956"/>
        <w:gridCol w:w="2237"/>
      </w:tblGrid>
      <w:tr w:rsidR="00C7664D" w:rsidRPr="00A00E82" w:rsidTr="00567E8B">
        <w:tc>
          <w:tcPr>
            <w:tcW w:w="1403" w:type="dxa"/>
            <w:vMerge w:val="restart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Номер стометрового участка газопровода (№ пикета)</w:t>
            </w:r>
          </w:p>
        </w:tc>
        <w:tc>
          <w:tcPr>
            <w:tcW w:w="8236" w:type="dxa"/>
            <w:gridSpan w:val="3"/>
          </w:tcPr>
          <w:p w:rsidR="00C7664D" w:rsidRPr="00A00E82" w:rsidRDefault="00C7664D" w:rsidP="00567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состояния изоляционного покрытия, баллы</w:t>
            </w:r>
          </w:p>
          <w:p w:rsidR="00C7664D" w:rsidRPr="00A00E82" w:rsidRDefault="00C7664D" w:rsidP="00567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  <w:vMerge/>
          </w:tcPr>
          <w:p w:rsidR="00C7664D" w:rsidRPr="00A00E82" w:rsidRDefault="00C7664D" w:rsidP="00567E8B">
            <w:pPr>
              <w:pStyle w:val="HTML"/>
              <w:ind w:left="-142"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на стометровом участке по результатам проверки приборным методом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В общем, по результатам проверки приборным методом</w:t>
            </w: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 xml:space="preserve">Общая оценка с учетом результатов </w:t>
            </w:r>
            <w:proofErr w:type="spellStart"/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шурфовых</w:t>
            </w:r>
            <w:proofErr w:type="spellEnd"/>
            <w:r w:rsidRPr="00A00E82">
              <w:rPr>
                <w:rFonts w:ascii="Times New Roman" w:hAnsi="Times New Roman" w:cs="Times New Roman"/>
                <w:sz w:val="23"/>
                <w:szCs w:val="23"/>
              </w:rPr>
              <w:t xml:space="preserve"> осмотров</w:t>
            </w: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E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E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E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A00E82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  <w:t>n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A00E82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  <w:t>n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A00E82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  <w:t>n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A00E82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  <w:t>n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A00E82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  <w:t>n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64D" w:rsidRPr="00A00E82" w:rsidTr="00567E8B">
        <w:tc>
          <w:tcPr>
            <w:tcW w:w="140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3043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A00E82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en-US"/>
              </w:rPr>
              <w:t>n</w:t>
            </w:r>
          </w:p>
        </w:tc>
        <w:tc>
          <w:tcPr>
            <w:tcW w:w="2956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C7664D" w:rsidRPr="00A00E82" w:rsidRDefault="00C7664D" w:rsidP="00567E8B">
            <w:pPr>
              <w:pStyle w:val="HTML"/>
              <w:ind w:left="-142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 графе 1 проставляются номера стометровых участков газопровода.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 графе 2 проставляются оценки, определенные по табл.2 для  каждого проверенного стометрового участка.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изоляционного покрытия газопровода в целом в баллах определяется как среднее арифметическое значений оценок, полученных для стометровых участков газопровода, по формуле: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142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C7664D" w:rsidRPr="00C7664D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142"/>
        <w:rPr>
          <w:rFonts w:ascii="Consolas" w:eastAsia="Times New Roman" w:hAnsi="Consolas" w:cs="Consolas"/>
          <w:sz w:val="23"/>
          <w:szCs w:val="23"/>
          <w:lang w:val="en-US"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Consolas"/>
              <w:sz w:val="23"/>
              <w:szCs w:val="23"/>
              <w:lang w:eastAsia="ru-RU"/>
            </w:rPr>
            <m:t xml:space="preserve">а = </m:t>
          </m:r>
          <m:f>
            <m:fPr>
              <m:ctrlPr>
                <w:rPr>
                  <w:rFonts w:ascii="Cambria Math" w:eastAsia="Times New Roman" w:hAnsi="Cambria Math" w:cs="Consolas"/>
                  <w:i/>
                  <w:sz w:val="23"/>
                  <w:szCs w:val="23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onsolas"/>
                      <w:i/>
                      <w:sz w:val="23"/>
                      <w:szCs w:val="23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 xml:space="preserve">1 </m:t>
                  </m:r>
                </m:sub>
              </m:sSub>
              <m:r>
                <w:rPr>
                  <w:rFonts w:ascii="Cambria Math" w:eastAsia="Times New Roman" w:hAnsi="Cambria Math" w:cs="Consolas"/>
                  <w:sz w:val="23"/>
                  <w:szCs w:val="23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onsolas"/>
                      <w:i/>
                      <w:sz w:val="23"/>
                      <w:szCs w:val="23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 xml:space="preserve">2 </m:t>
                  </m:r>
                </m:sub>
              </m:sSub>
              <m:r>
                <w:rPr>
                  <w:rFonts w:ascii="Cambria Math" w:eastAsia="Times New Roman" w:hAnsi="Cambria Math" w:cs="Consolas"/>
                  <w:sz w:val="23"/>
                  <w:szCs w:val="23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onsolas"/>
                      <w:i/>
                      <w:sz w:val="23"/>
                      <w:szCs w:val="23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 xml:space="preserve">3  </m:t>
                  </m:r>
                </m:sub>
              </m:sSub>
              <m:r>
                <w:rPr>
                  <w:rFonts w:ascii="Cambria Math" w:eastAsia="Times New Roman" w:hAnsi="Cambria Math" w:cs="Consolas"/>
                  <w:sz w:val="23"/>
                  <w:szCs w:val="23"/>
                  <w:lang w:eastAsia="ru-RU"/>
                </w:rPr>
                <m:t xml:space="preserve">+ …+ </m:t>
              </m:r>
              <m:sSub>
                <m:sSubPr>
                  <m:ctrlPr>
                    <w:rPr>
                      <w:rFonts w:ascii="Cambria Math" w:eastAsia="Times New Roman" w:hAnsi="Cambria Math" w:cs="Consolas"/>
                      <w:i/>
                      <w:sz w:val="23"/>
                      <w:szCs w:val="23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Consolas"/>
                      <w:sz w:val="23"/>
                      <w:szCs w:val="23"/>
                      <w:lang w:eastAsia="ru-RU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Times New Roman" w:hAnsi="Cambria Math" w:cs="Consolas"/>
                  <w:sz w:val="23"/>
                  <w:szCs w:val="23"/>
                  <w:lang w:val="en-US" w:eastAsia="ru-RU"/>
                </w:rPr>
                <m:t>n</m:t>
              </m:r>
            </m:den>
          </m:f>
        </m:oMath>
      </m:oMathPara>
    </w:p>
    <w:p w:rsidR="00567E8B" w:rsidRDefault="00567E8B" w:rsidP="00567E8B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C7664D" w:rsidRPr="00A00E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C7664D" w:rsidRPr="00A00E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C7664D" w:rsidRPr="00A00E82">
        <w:rPr>
          <w:rFonts w:ascii="Times New Roman" w:hAnsi="Times New Roman" w:cs="Times New Roman"/>
          <w:sz w:val="24"/>
          <w:szCs w:val="24"/>
        </w:rPr>
        <w:t>, а</w:t>
      </w:r>
      <w:r w:rsidR="00C7664D" w:rsidRPr="00A00E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664D" w:rsidRPr="00A00E82">
        <w:rPr>
          <w:rFonts w:ascii="Times New Roman" w:hAnsi="Times New Roman" w:cs="Times New Roman"/>
          <w:sz w:val="24"/>
          <w:szCs w:val="24"/>
        </w:rPr>
        <w:t>, а</w:t>
      </w:r>
      <w:r w:rsidR="00C7664D" w:rsidRPr="00A00E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7664D" w:rsidRPr="00A00E82">
        <w:rPr>
          <w:rFonts w:ascii="Times New Roman" w:hAnsi="Times New Roman" w:cs="Times New Roman"/>
          <w:sz w:val="24"/>
          <w:szCs w:val="24"/>
        </w:rPr>
        <w:t>, ... а</w:t>
      </w:r>
      <w:r w:rsidR="00C7664D" w:rsidRPr="00A00E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C7664D" w:rsidRPr="00A00E82">
        <w:rPr>
          <w:rFonts w:ascii="Times New Roman" w:hAnsi="Times New Roman" w:cs="Times New Roman"/>
          <w:sz w:val="24"/>
          <w:szCs w:val="24"/>
        </w:rPr>
        <w:t xml:space="preserve"> - оценка в баллах по каждой обследованной области; </w:t>
      </w:r>
    </w:p>
    <w:p w:rsidR="00C7664D" w:rsidRPr="00A00E82" w:rsidRDefault="00C7664D" w:rsidP="00567E8B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n - количество стометровых участков.</w:t>
      </w:r>
    </w:p>
    <w:p w:rsidR="00C7664D" w:rsidRPr="00A00E82" w:rsidRDefault="00C7664D" w:rsidP="00567E8B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Результат проставляется в графе 3.</w:t>
      </w:r>
    </w:p>
    <w:p w:rsid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2.3. </w:t>
      </w:r>
      <w:proofErr w:type="gram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этапе на участках, где приборным методом контроля выявлены места возможных повреждений изолирующего защитного покрытия газопровода, а также на участках газопровода, где не обнаружено повреждений защитного покрытия и отсутствуют данные 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шурфовых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осмотров за период эксплуатации, на каждые 500 м обследуемого газопровода следует вскрыть не менее одного контрольного шурфа длиной 1,5 - 2 м. Шурфы вскрываются также в местах наибольшего повреждения</w:t>
      </w:r>
      <w:proofErr w:type="gram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изоляции, </w:t>
      </w:r>
      <w:proofErr w:type="gram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обнаруженных</w:t>
      </w:r>
      <w:proofErr w:type="gram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приборного обследования. Когда при 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шурфовом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осмотре установлено, что состояние изоляционного покрытия в целом хорошее, а есть только отдельные незначительные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повреждения (проколы, порезы), после ремонта, которых защитные свойства, покрытия  восстанавливаются, то оценку изоляции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газопровода (а) следует повысить на один балл.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обнаружены дефекты изоляции - такие, как хрупкость, осыпаемость и отсутствие адгезии покрытия, то оценка состояния изоляционного покрытия (а) должна быть снижена на один балл.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Участки газопровода, которые имеют изоляционные покрытия с такими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дефектами, подлежат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переизолированию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 оценка состояния изоляционного покрытия газопровода в целом, с учетом результатов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шурфовых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осмотров, проставляется в графе 4.</w:t>
      </w:r>
    </w:p>
    <w:p w:rsid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2.4. 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При оценке состояния изоляционного защитного покрытия определяют:</w:t>
      </w:r>
    </w:p>
    <w:p w:rsidR="00E45DC4" w:rsidRDefault="00E45DC4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DC4" w:rsidRDefault="00E45DC4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5DC4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33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состояние внешней поверхности изоляции (гладкость,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сморщенность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бугристость, наличие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продавливаний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бокам, сверху, снизу)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сквозных повреждений,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сдиров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пропусков изоляции, трещин, морщин и полостей и т.д.);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тип изоляции (битумная, полимерная, усиленная, весьма усиленная и др.)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 хрупкость,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трещиноватость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расслаиваемость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осыпаемость изоляции,  адгезию или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прилипаемость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изоляции.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64D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3. </w:t>
      </w:r>
      <w:r w:rsidRPr="00A00E82">
        <w:rPr>
          <w:rFonts w:ascii="Times New Roman" w:hAnsi="Times New Roman" w:cs="Times New Roman"/>
          <w:b/>
          <w:sz w:val="24"/>
          <w:szCs w:val="24"/>
        </w:rPr>
        <w:t>Оценка состояния металла трубы</w:t>
      </w:r>
    </w:p>
    <w:p w:rsidR="00567E8B" w:rsidRPr="00567E8B" w:rsidRDefault="00567E8B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состояния металла трубы для накопления данных, проверка его должна проводиться во всех шурфах, которые вскрываются в процессе эксплуатации с целью проведения ремонта изоляции или устранения утечек газа, а также при обследовании газопровода, которое проводится с целью назначения его на ремонт или замену.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245"/>
      <w:bookmarkEnd w:id="1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Результаты осмотров должны отражаться в паспорте технического состояния газопровода.</w:t>
      </w: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246"/>
      <w:bookmarkEnd w:id="2"/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В актах осмотра следует отражать степень коррозии металла трубы, которая определяется в соответствии с таблицей 4.</w:t>
      </w:r>
    </w:p>
    <w:p w:rsidR="00C7664D" w:rsidRPr="00567E8B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  <w:t>Таблица 4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332"/>
        <w:gridCol w:w="7307"/>
      </w:tblGrid>
      <w:tr w:rsidR="00C7664D" w:rsidRPr="00A00E82" w:rsidTr="00567E8B">
        <w:tc>
          <w:tcPr>
            <w:tcW w:w="2332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hAnsi="Times New Roman"/>
                <w:sz w:val="24"/>
                <w:szCs w:val="24"/>
              </w:rPr>
              <w:t>Степень коррозии</w:t>
            </w:r>
          </w:p>
        </w:tc>
        <w:tc>
          <w:tcPr>
            <w:tcW w:w="730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повреждений стенки трубы </w:t>
            </w:r>
          </w:p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4D" w:rsidRPr="00A00E82" w:rsidTr="00567E8B">
        <w:tc>
          <w:tcPr>
            <w:tcW w:w="2332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730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Металл на поверхности имеет ржавые пятна и одиночные язвы глубиной до 0,6 мм </w:t>
            </w:r>
          </w:p>
        </w:tc>
      </w:tr>
      <w:tr w:rsidR="00C7664D" w:rsidRPr="00A00E82" w:rsidTr="00567E8B">
        <w:tc>
          <w:tcPr>
            <w:tcW w:w="2332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730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Поверхностная коррозия трубы с одиночными гнездовыми язвами глубиной до 30% толщины стенки трубы</w:t>
            </w:r>
          </w:p>
        </w:tc>
      </w:tr>
      <w:tr w:rsidR="00C7664D" w:rsidRPr="00A00E82" w:rsidTr="00567E8B">
        <w:tc>
          <w:tcPr>
            <w:tcW w:w="2332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730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Коррозия стенки трубы с одиночными и гнездовыми язвами более 30% толщины стенок трубы и до сквозных коррозионных повреждений</w:t>
            </w:r>
          </w:p>
        </w:tc>
      </w:tr>
    </w:tbl>
    <w:p w:rsidR="00C7664D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82">
        <w:rPr>
          <w:rFonts w:ascii="Times New Roman" w:hAnsi="Times New Roman" w:cs="Times New Roman"/>
          <w:sz w:val="24"/>
          <w:szCs w:val="24"/>
        </w:rPr>
        <w:t>Примечание. Гнездовыми язвами считают две или более язв,</w:t>
      </w:r>
      <w:r w:rsidR="0056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расстояние между которыми составляет не менее 10 диаметров наименьшей из язв.</w:t>
      </w:r>
    </w:p>
    <w:p w:rsidR="00567E8B" w:rsidRPr="00567E8B" w:rsidRDefault="00567E8B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3.3. </w:t>
      </w:r>
      <w:r w:rsidRPr="00A00E82">
        <w:rPr>
          <w:rFonts w:ascii="Times New Roman" w:hAnsi="Times New Roman" w:cs="Times New Roman"/>
          <w:sz w:val="24"/>
          <w:szCs w:val="24"/>
        </w:rPr>
        <w:t>Для проверки состояния металла трубы в открытом шурфе следует тщательно очистить от изоляции участок трубы длиной не менее 0,5 м и осмотреть поверхность металла трубы.</w:t>
      </w:r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Следует иметь в виду, что места язвенного поражения металла часто забиты продуктами коррозии и выявление их возможно только при внимательном осмотре и при изъятии продуктов коррозии острым инструментом.</w:t>
      </w:r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o267"/>
      <w:bookmarkEnd w:id="3"/>
      <w:r w:rsidRPr="00A00E82">
        <w:rPr>
          <w:rFonts w:ascii="Times New Roman" w:hAnsi="Times New Roman" w:cs="Times New Roman"/>
          <w:sz w:val="24"/>
          <w:szCs w:val="24"/>
        </w:rPr>
        <w:t xml:space="preserve">Для измерения глубины язв следует использовать 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штангельциркуль</w:t>
      </w:r>
      <w:proofErr w:type="spellEnd"/>
      <w:r w:rsidRPr="00A00E82">
        <w:rPr>
          <w:rFonts w:ascii="Times New Roman" w:hAnsi="Times New Roman" w:cs="Times New Roman"/>
          <w:sz w:val="24"/>
          <w:szCs w:val="24"/>
        </w:rPr>
        <w:t xml:space="preserve"> или спиральный микрометрический глубиномер.</w:t>
      </w:r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268"/>
      <w:bookmarkEnd w:id="4"/>
      <w:r w:rsidRPr="00A00E82">
        <w:rPr>
          <w:rFonts w:ascii="Times New Roman" w:hAnsi="Times New Roman" w:cs="Times New Roman"/>
          <w:sz w:val="24"/>
          <w:szCs w:val="24"/>
        </w:rPr>
        <w:t>При наличии сплошной коррозии поверхности трубы следует определить толщину стенки трубы.</w:t>
      </w:r>
    </w:p>
    <w:p w:rsidR="00567E8B" w:rsidRDefault="00567E8B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o269"/>
      <w:bookmarkEnd w:id="5"/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3.4. </w:t>
      </w:r>
      <w:r w:rsidRPr="00A00E82">
        <w:rPr>
          <w:rFonts w:ascii="Times New Roman" w:hAnsi="Times New Roman" w:cs="Times New Roman"/>
          <w:sz w:val="24"/>
          <w:szCs w:val="24"/>
        </w:rPr>
        <w:t xml:space="preserve">Для определения толщины стенки трубы следует  использовать импульсные или резонансные 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толщиномеры</w:t>
      </w:r>
      <w:proofErr w:type="spellEnd"/>
      <w:r w:rsidRPr="00A00E82">
        <w:rPr>
          <w:rFonts w:ascii="Times New Roman" w:hAnsi="Times New Roman" w:cs="Times New Roman"/>
          <w:sz w:val="24"/>
          <w:szCs w:val="24"/>
        </w:rPr>
        <w:t>, которые позволяют проводить измерения толщины при одностороннем доступе.</w:t>
      </w:r>
    </w:p>
    <w:p w:rsidR="00C7664D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o270"/>
      <w:bookmarkEnd w:id="6"/>
      <w:r w:rsidRPr="00A00E82">
        <w:rPr>
          <w:rFonts w:ascii="Times New Roman" w:hAnsi="Times New Roman" w:cs="Times New Roman"/>
          <w:sz w:val="24"/>
          <w:szCs w:val="24"/>
        </w:rPr>
        <w:t xml:space="preserve">Для этого могут быть 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="0056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толщиномеры</w:t>
      </w:r>
      <w:proofErr w:type="spellEnd"/>
      <w:r w:rsidRPr="00A00E82">
        <w:rPr>
          <w:rFonts w:ascii="Times New Roman" w:hAnsi="Times New Roman" w:cs="Times New Roman"/>
          <w:sz w:val="24"/>
          <w:szCs w:val="24"/>
        </w:rPr>
        <w:t xml:space="preserve"> типа УТ, УИТ-Т.10 и др.</w:t>
      </w:r>
    </w:p>
    <w:p w:rsidR="00E45DC4" w:rsidRDefault="00E45DC4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DC4" w:rsidRDefault="00E45DC4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E8B" w:rsidRPr="00E45DC4" w:rsidRDefault="00E45DC4" w:rsidP="00E45D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5DC4">
        <w:rPr>
          <w:rFonts w:ascii="Times New Roman" w:hAnsi="Times New Roman" w:cs="Times New Roman"/>
          <w:sz w:val="24"/>
          <w:szCs w:val="24"/>
        </w:rPr>
        <w:t>Продолжение приложения 33</w:t>
      </w:r>
      <w:bookmarkStart w:id="7" w:name="o271"/>
      <w:bookmarkEnd w:id="7"/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3.5. 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Если на поверхности трубы при осмотре, который проводился в соответствии с требованиями п.3.4., обнаружена сильная или очень сильная коррозия (степень коррозии следует определять по таблице 4), то следует провести дополнительное обследование газопровода путем осмотра металла трубы в двух шурфах, вскрываемых на каждые 500 м, и в местах с наибольшими повреждениями изоляционного покрытия, которые были обнаружены приборами.</w:t>
      </w:r>
      <w:proofErr w:type="gramEnd"/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o272"/>
      <w:bookmarkEnd w:id="8"/>
      <w:r w:rsidRPr="00A00E82">
        <w:rPr>
          <w:rFonts w:ascii="Times New Roman" w:hAnsi="Times New Roman" w:cs="Times New Roman"/>
          <w:sz w:val="24"/>
          <w:szCs w:val="24"/>
        </w:rPr>
        <w:t>При обнаружении 5 мест с сильной и очень сильной коррозией, которые расположены на 70% длины обследуемого газопровода, газопровод подлежит замене.</w:t>
      </w:r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273"/>
      <w:bookmarkEnd w:id="9"/>
      <w:r w:rsidRPr="00A00E82">
        <w:rPr>
          <w:rFonts w:ascii="Times New Roman" w:hAnsi="Times New Roman" w:cs="Times New Roman"/>
          <w:sz w:val="24"/>
          <w:szCs w:val="24"/>
        </w:rPr>
        <w:t>Когда места с такими повреждениями расположены на длине менее 70% длины обследуемого газопровода,  то замене подлежат только участки газопровода с указанными дефектами.</w:t>
      </w:r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274"/>
      <w:bookmarkEnd w:id="10"/>
      <w:r>
        <w:rPr>
          <w:rFonts w:ascii="Times New Roman" w:hAnsi="Times New Roman" w:cs="Times New Roman"/>
          <w:sz w:val="24"/>
          <w:szCs w:val="24"/>
          <w:lang w:val="uk-UA"/>
        </w:rPr>
        <w:t>3.6. </w:t>
      </w:r>
      <w:r w:rsidRPr="00A00E82">
        <w:rPr>
          <w:rFonts w:ascii="Times New Roman" w:hAnsi="Times New Roman" w:cs="Times New Roman"/>
          <w:sz w:val="24"/>
          <w:szCs w:val="24"/>
        </w:rPr>
        <w:t>Общая оценка состояния внешней металлической поверхности газопровода определяется в баллах в соответствии с таблицей 5.</w:t>
      </w:r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275"/>
      <w:bookmarkEnd w:id="11"/>
      <w:r w:rsidRPr="00A00E82">
        <w:rPr>
          <w:rFonts w:ascii="Times New Roman" w:hAnsi="Times New Roman" w:cs="Times New Roman"/>
          <w:sz w:val="24"/>
          <w:szCs w:val="24"/>
        </w:rPr>
        <w:t xml:space="preserve">     Газопроводы, которые получили по состоянию металла трубы оценку 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водин</w:t>
      </w:r>
      <w:proofErr w:type="spellEnd"/>
      <w:r w:rsidRPr="00A00E82">
        <w:rPr>
          <w:rFonts w:ascii="Times New Roman" w:hAnsi="Times New Roman" w:cs="Times New Roman"/>
          <w:sz w:val="24"/>
          <w:szCs w:val="24"/>
        </w:rPr>
        <w:t xml:space="preserve"> балл, независимо от общей суммы баллов, полученных по другим критериям, подлежат замене.</w:t>
      </w:r>
    </w:p>
    <w:p w:rsidR="00C7664D" w:rsidRPr="00567E8B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ab/>
        <w:t>Таблица</w:t>
      </w:r>
      <w:r w:rsidRP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92"/>
        <w:gridCol w:w="3054"/>
      </w:tblGrid>
      <w:tr w:rsidR="00C7664D" w:rsidRPr="00A00E82" w:rsidTr="00567E8B">
        <w:tc>
          <w:tcPr>
            <w:tcW w:w="7088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металла трубы </w:t>
            </w:r>
          </w:p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C7664D" w:rsidRPr="00A00E82" w:rsidTr="00567E8B">
        <w:tc>
          <w:tcPr>
            <w:tcW w:w="7088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Более 50% осмотренных мест имеют сильную и очень сильную коррозию трубы </w:t>
            </w:r>
          </w:p>
        </w:tc>
        <w:tc>
          <w:tcPr>
            <w:tcW w:w="3225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64D" w:rsidRPr="00A00E82" w:rsidTr="00567E8B">
        <w:tc>
          <w:tcPr>
            <w:tcW w:w="7088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До 50% осмотренных мест имеют сильную и  очень сильную коррозию трубы </w:t>
            </w:r>
          </w:p>
        </w:tc>
        <w:tc>
          <w:tcPr>
            <w:tcW w:w="3225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64D" w:rsidRPr="00A00E82" w:rsidTr="00567E8B">
        <w:tc>
          <w:tcPr>
            <w:tcW w:w="7088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Незначительная коррозия</w:t>
            </w:r>
          </w:p>
        </w:tc>
        <w:tc>
          <w:tcPr>
            <w:tcW w:w="3225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64D" w:rsidRPr="00A00E82" w:rsidTr="00567E8B">
        <w:tc>
          <w:tcPr>
            <w:tcW w:w="7088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Коррозия отсутствует</w:t>
            </w:r>
          </w:p>
        </w:tc>
        <w:tc>
          <w:tcPr>
            <w:tcW w:w="3225" w:type="dxa"/>
          </w:tcPr>
          <w:p w:rsidR="00C7664D" w:rsidRPr="00A00E82" w:rsidRDefault="00C7664D" w:rsidP="005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7E8B" w:rsidRDefault="00567E8B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7664D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4. </w:t>
      </w:r>
      <w:r w:rsidRPr="00C7664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сварных стыков</w:t>
      </w:r>
    </w:p>
    <w:p w:rsidR="00567E8B" w:rsidRPr="00567E8B" w:rsidRDefault="00567E8B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7664D" w:rsidRPr="00C7664D" w:rsidRDefault="00C7664D" w:rsidP="0056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4.1. 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сварных стыков на действующих газопроводах проводится в случаях, если: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эксплуатации на данном газопроводе наблюдались случаи раскрытия или разрыва сварных стыков;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последней проверке газопровода на герметичность установлено, что местом утечки газа является некачественный сварной стык.</w:t>
      </w:r>
    </w:p>
    <w:p w:rsidR="00C7664D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эксплуатации на данном газопроводе разрывов сварных стыков не отмечалось, и не было зафиксировано утечек газа через них, то сварные стыки признаются пригодными и проверка их не</w:t>
      </w:r>
      <w:r w:rsidR="00567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производится.</w:t>
      </w:r>
    </w:p>
    <w:p w:rsidR="00567E8B" w:rsidRPr="00567E8B" w:rsidRDefault="00567E8B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4.2. 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Проверка качества сварных стыков должна проводиться в строго определенной последовательности: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 стороны от каждого дефектного сварного стыка проверяется по одному прилегающему сварному стыку гамма - или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рентгенографированием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при просвечивании этих сварных стыков был обнаружен хотя бы один некачественный стык, то необходимо дополнительно провести проверку гамма - или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рентгенографированием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5% всех сварных стыков проверяемого газопровода,  кроме того, все сварные стыки этого газопровода следует дополнительно проверить на герметичность путем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пробуривания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каждым стыком скважины глубиной не менее 0,7 глубины заложения газопровода с проверкой загазованности скважины высокочувствительными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газоиндикаторами</w:t>
      </w:r>
      <w:proofErr w:type="spellEnd"/>
      <w:proofErr w:type="gram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чувствительностью 0,001%.</w:t>
      </w:r>
    </w:p>
    <w:p w:rsidR="00E45DC4" w:rsidRDefault="00E45DC4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C4" w:rsidRDefault="00E45DC4" w:rsidP="00E45DC4">
      <w:pPr>
        <w:pStyle w:val="a3"/>
        <w:autoSpaceDE w:val="0"/>
        <w:autoSpaceDN w:val="0"/>
        <w:adjustRightInd w:val="0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 33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загазованности в скважинах эти стыки должны быть проверены гамма - или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рентгенографированием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загазованность в указанных скважинах не обнаружена, то стыки признаются годными.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сварных стыков определяется в баллах в соответствии с таблицей 6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8804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664D" w:rsidRPr="00567E8B" w:rsidRDefault="00C7664D" w:rsidP="00567E8B">
      <w:pPr>
        <w:pStyle w:val="a3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C7664D" w:rsidRPr="00567E8B" w:rsidRDefault="00C7664D" w:rsidP="00567E8B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сварных стыков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061"/>
        <w:gridCol w:w="2509"/>
      </w:tblGrid>
      <w:tr w:rsidR="00C7664D" w:rsidRPr="00A00E82" w:rsidTr="00567E8B">
        <w:tc>
          <w:tcPr>
            <w:tcW w:w="7479" w:type="dxa"/>
          </w:tcPr>
          <w:p w:rsidR="00C7664D" w:rsidRPr="00A00E82" w:rsidRDefault="00C7664D" w:rsidP="00567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сварных стыков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C7664D" w:rsidRPr="00A00E82" w:rsidTr="00567E8B">
        <w:tc>
          <w:tcPr>
            <w:tcW w:w="7479" w:type="dxa"/>
          </w:tcPr>
          <w:p w:rsidR="00C7664D" w:rsidRPr="00A00E82" w:rsidRDefault="00C7664D" w:rsidP="00567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50% и более стыков, проверенных гамма - или </w:t>
            </w:r>
            <w:proofErr w:type="spell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рентгенографированием</w:t>
            </w:r>
            <w:proofErr w:type="spell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непригодными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64D" w:rsidRPr="00A00E82" w:rsidTr="00567E8B">
        <w:tc>
          <w:tcPr>
            <w:tcW w:w="7479" w:type="dxa"/>
          </w:tcPr>
          <w:p w:rsidR="00C7664D" w:rsidRPr="00A00E82" w:rsidRDefault="00C7664D" w:rsidP="00567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 менее 50%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64D" w:rsidRPr="00A00E82" w:rsidTr="00567E8B">
        <w:tc>
          <w:tcPr>
            <w:tcW w:w="7479" w:type="dxa"/>
          </w:tcPr>
          <w:p w:rsidR="00C7664D" w:rsidRPr="00A00E82" w:rsidRDefault="00C7664D" w:rsidP="00567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Стыки пригодны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67E8B" w:rsidRDefault="00567E8B" w:rsidP="0056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4.3. 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Если установлено, что 50% и более проверенных сварных стыков являются дефектными, то проставляется оценка в один балл (дальнейшую проверку по другим показателям, характеризующим техническое состояние газопровода, проводить не обязательно, потому что газопровод назначается на перекладку).</w:t>
      </w:r>
    </w:p>
    <w:p w:rsidR="00C7664D" w:rsidRPr="00A00E82" w:rsidRDefault="00C7664D" w:rsidP="00567E8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4D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5. </w:t>
      </w:r>
      <w:r w:rsidRPr="00A00E82">
        <w:rPr>
          <w:rFonts w:ascii="Times New Roman" w:hAnsi="Times New Roman" w:cs="Times New Roman"/>
          <w:b/>
          <w:sz w:val="24"/>
          <w:szCs w:val="24"/>
        </w:rPr>
        <w:t>Оценка коррозионного состояния газопроводов</w:t>
      </w:r>
    </w:p>
    <w:p w:rsidR="00567E8B" w:rsidRPr="00567E8B" w:rsidRDefault="00567E8B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Коррозионное состояние подземных газопроводов должно определяться:</w:t>
      </w:r>
    </w:p>
    <w:p w:rsidR="00C7664D" w:rsidRPr="00A00E82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317"/>
      <w:bookmarkEnd w:id="12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 по результатам проверки состояния изоляционного покрытия;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по наличию анодных и знакопеременных зон, вызванных блуждающими токами;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по наличию защитных потенциалов на газопроводах;</w:t>
      </w: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по коррозионной активности грунта.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5.2. 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Для оценки коррозионной опасности газопроводов следует выявить: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участки газопроводов, находящиеся в зонах с коррозионно-опасными грунтами;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участки газопроводов, имеющие анодные и знакопеременные потенциалы, вызванные блуждающими токами;</w:t>
      </w: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зоны влияния действующих электрозащитных установок, защищающих смежные подземные сооружения.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5.3. 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Коррозионная агрессивность  грунтов  должна определяться в соответствии с </w:t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таблицей 1 приложения 3 </w:t>
      </w:r>
      <w:r w:rsidR="00567E8B" w:rsidRPr="00567E8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>данно</w:t>
      </w:r>
      <w:r w:rsidR="00567E8B" w:rsidRPr="00567E8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567E8B" w:rsidRPr="00567E8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67E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3" w:name="o326"/>
      <w:bookmarkEnd w:id="13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5.4. 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Для выявления условий распространения блуждающих токов необходимо получить данные о потенциалах рельсов и отсасывающих пунктов относительно земли, о разнице потенциалов между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«мину</w:t>
      </w:r>
      <w:proofErr w:type="gram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с–</w:t>
      </w:r>
      <w:proofErr w:type="gram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шинами» тяговых подстанций.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327"/>
      <w:bookmarkEnd w:id="14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Определение наличия блуждающих токов на действующих газопроводах следует проводить по результатам измерений разницы потенциалов между газопроводом и землей.</w:t>
      </w:r>
    </w:p>
    <w:p w:rsidR="00C7664D" w:rsidRDefault="00C7664D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o328"/>
      <w:bookmarkEnd w:id="15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разности потенциалов по величине и знаку или только по величине указывает на наличие в грунте блуждающих токов.</w:t>
      </w:r>
    </w:p>
    <w:p w:rsidR="00567E8B" w:rsidRPr="00567E8B" w:rsidRDefault="00567E8B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DC4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o329"/>
      <w:bookmarkEnd w:id="16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5.6. 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измерениях 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электропотенциалов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газопроводах через контрольно-измерительные пункты, оборудованные стальными электродами сравнения, необходимо, </w:t>
      </w:r>
    </w:p>
    <w:p w:rsidR="00E45DC4" w:rsidRDefault="00E45DC4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5DC4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33</w:t>
      </w:r>
    </w:p>
    <w:p w:rsidR="00C7664D" w:rsidRPr="00C7664D" w:rsidRDefault="00C7664D" w:rsidP="00E45D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избежать ошибок, проводить выборочный </w:t>
      </w:r>
      <w:proofErr w:type="gram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измерениями с помощью переносных 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медносульфатных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электродов сравнения.</w:t>
      </w:r>
    </w:p>
    <w:p w:rsidR="00C7664D" w:rsidRDefault="00C7664D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o330"/>
      <w:bookmarkEnd w:id="17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значительных расхождений между результатами измерений указанными электродами,  измерения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электропотенциалов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 только с помощью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медносульфатных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электродов, которые должны устанавливаться в грунте рядом с контрольным проводником.</w:t>
      </w:r>
    </w:p>
    <w:p w:rsidR="00567E8B" w:rsidRPr="00567E8B" w:rsidRDefault="00567E8B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8" w:name="o331"/>
      <w:bookmarkEnd w:id="18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5.7. 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Измерение разности потенциалов между газопроводом и землей, а также величины и направлений токов в газопроводе и обработку результатов измерения следует проводить в соответствии с Регламентом ГК «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Донбассгаз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» «Эксплуатация, техническое обслуживание и ремонт средств ЭХЗ, комплексное приборное обследование подземных газопроводов».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9" w:name="o332"/>
      <w:bookmarkEnd w:id="19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5.8. 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Наличие на газопроводах, при воздействии на них внешней поляризации, анодных или знакопеременных зон указывает, что газопроводы подвержены коррозионной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опасности независимо от величины разности потенциалов "труба-земля" и коррозионной активности грунтов.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0" w:name="o333"/>
      <w:bookmarkEnd w:id="20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5.9. 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Опасными по коррозии являются зоны на газопроводах, где под влиянием стекающего тока электротранспорта, работающего  на переменном токе, наблюдается смещение разности потенциалов между трубой и 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медносульфатным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электродом сравнения в сторону уменьшения более чем на 10 мВ по сравнению со стационарным потенциалом газопровода.</w:t>
      </w:r>
    </w:p>
    <w:p w:rsidR="00567E8B" w:rsidRPr="00567E8B" w:rsidRDefault="00567E8B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664D" w:rsidRPr="00C7664D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o334"/>
      <w:bookmarkEnd w:id="21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5.10. 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на газопроводах </w:t>
      </w:r>
      <w:proofErr w:type="spellStart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>электрокоррозионно</w:t>
      </w:r>
      <w:proofErr w:type="spellEnd"/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опасных зон следует уточнить: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o335"/>
      <w:bookmarkEnd w:id="22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зоны действия электрозащитных установок, защищающих эти</w:t>
      </w:r>
      <w:r w:rsidR="00567E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газопроводы (в том числе и режимы работы электрозащитных установок);</w:t>
      </w: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o336"/>
      <w:bookmarkEnd w:id="23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пути утечки защитного тока.</w:t>
      </w:r>
    </w:p>
    <w:p w:rsidR="00C7664D" w:rsidRDefault="00C7664D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o337"/>
      <w:bookmarkEnd w:id="24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обратить на наличие </w:t>
      </w:r>
      <w:r w:rsidRPr="00A00E82">
        <w:rPr>
          <w:rFonts w:ascii="Times New Roman" w:eastAsia="Calibri" w:hAnsi="Times New Roman" w:cs="Times New Roman"/>
          <w:sz w:val="24"/>
          <w:szCs w:val="24"/>
        </w:rPr>
        <w:t>электроизолирующих соединений (фланцевых – ЭИФ, вставок)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газопроводах тех объектов газоснабжения, которые имеют непосредственный контакт с заземленным оборудованием и другими сооружениями (газорегуляторные пункты, котельные, жилые и общественные здания, оборудованные проточными газовыми водонагревателями и др.).</w:t>
      </w:r>
    </w:p>
    <w:p w:rsidR="00567E8B" w:rsidRPr="00567E8B" w:rsidRDefault="00567E8B" w:rsidP="00567E8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664D" w:rsidRPr="00A00E82" w:rsidRDefault="00C7664D" w:rsidP="00567E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o338"/>
      <w:bookmarkEnd w:id="25"/>
      <w:r>
        <w:rPr>
          <w:rFonts w:ascii="Times New Roman" w:eastAsia="Times New Roman" w:hAnsi="Times New Roman"/>
          <w:sz w:val="24"/>
          <w:szCs w:val="24"/>
          <w:lang w:val="uk-UA" w:eastAsia="ru-RU"/>
        </w:rPr>
        <w:t>5.11. </w:t>
      </w:r>
      <w:r w:rsidRPr="00C7664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ориентировочного подсчета потерь защитного тока при отсутствии электроизолирующих фланцев на перечисленных в п.5.10. объектах следует пользоваться показателями из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таблицы 7.</w:t>
      </w:r>
    </w:p>
    <w:p w:rsidR="00C7664D" w:rsidRPr="00567E8B" w:rsidRDefault="00C7664D" w:rsidP="00567E8B">
      <w:pPr>
        <w:pStyle w:val="a3"/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C7664D" w:rsidRPr="00567E8B" w:rsidRDefault="00C7664D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67E8B">
        <w:rPr>
          <w:rFonts w:ascii="Times New Roman" w:hAnsi="Times New Roman" w:cs="Times New Roman"/>
          <w:bCs/>
          <w:sz w:val="24"/>
          <w:szCs w:val="24"/>
        </w:rPr>
        <w:t xml:space="preserve">Средние потери защитного тока на объектах газоснабжения, имеющих непосредственный контакт через оборудование и смежные коммуникации с землей при отсутствии </w:t>
      </w:r>
      <w:r w:rsidRPr="00567E8B">
        <w:rPr>
          <w:rFonts w:ascii="Times New Roman" w:eastAsia="Calibri" w:hAnsi="Times New Roman" w:cs="Times New Roman"/>
          <w:sz w:val="24"/>
          <w:szCs w:val="24"/>
        </w:rPr>
        <w:t>электроизолирующих соединений (фланцевых – ЭИФ, вставок)</w:t>
      </w:r>
      <w:r w:rsidRPr="00567E8B">
        <w:rPr>
          <w:rFonts w:ascii="Times New Roman" w:hAnsi="Times New Roman" w:cs="Times New Roman"/>
          <w:sz w:val="24"/>
          <w:szCs w:val="24"/>
        </w:rPr>
        <w:t xml:space="preserve">, </w:t>
      </w:r>
      <w:r w:rsidRPr="00567E8B">
        <w:rPr>
          <w:rFonts w:ascii="Times New Roman" w:hAnsi="Times New Roman" w:cs="Times New Roman"/>
          <w:bCs/>
          <w:sz w:val="24"/>
          <w:szCs w:val="24"/>
        </w:rPr>
        <w:t xml:space="preserve"> на газопроводе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7"/>
        <w:gridCol w:w="2937"/>
      </w:tblGrid>
      <w:tr w:rsidR="00C7664D" w:rsidRPr="00A00E82" w:rsidTr="00E45DC4">
        <w:tc>
          <w:tcPr>
            <w:tcW w:w="691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93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Потери защитного тока, А</w:t>
            </w:r>
          </w:p>
        </w:tc>
      </w:tr>
      <w:tr w:rsidR="00C7664D" w:rsidRPr="00A00E82" w:rsidTr="00E45DC4">
        <w:tc>
          <w:tcPr>
            <w:tcW w:w="691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Газорегуляторные пункты </w:t>
            </w:r>
          </w:p>
        </w:tc>
        <w:tc>
          <w:tcPr>
            <w:tcW w:w="2937" w:type="dxa"/>
          </w:tcPr>
          <w:p w:rsidR="00C7664D" w:rsidRPr="00A00E82" w:rsidRDefault="00C7664D" w:rsidP="00567E8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</w:tc>
      </w:tr>
      <w:tr w:rsidR="00C7664D" w:rsidRPr="00A00E82" w:rsidTr="00E45DC4">
        <w:tc>
          <w:tcPr>
            <w:tcW w:w="691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</w:t>
            </w:r>
          </w:p>
        </w:tc>
        <w:tc>
          <w:tcPr>
            <w:tcW w:w="2937" w:type="dxa"/>
          </w:tcPr>
          <w:p w:rsidR="00C7664D" w:rsidRPr="00A00E82" w:rsidRDefault="00C7664D" w:rsidP="00567E8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15</w:t>
            </w:r>
          </w:p>
        </w:tc>
      </w:tr>
      <w:tr w:rsidR="00C7664D" w:rsidRPr="00A00E82" w:rsidTr="00E45DC4">
        <w:tc>
          <w:tcPr>
            <w:tcW w:w="6917" w:type="dxa"/>
          </w:tcPr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Жилые и общественные здания, оборудованные </w:t>
            </w:r>
            <w:proofErr w:type="gramStart"/>
            <w:r w:rsidRPr="00A00E82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proofErr w:type="gramEnd"/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64D" w:rsidRPr="00A00E82" w:rsidRDefault="00C7664D" w:rsidP="00567E8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E82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водонагревателями </w:t>
            </w:r>
          </w:p>
        </w:tc>
        <w:tc>
          <w:tcPr>
            <w:tcW w:w="2937" w:type="dxa"/>
          </w:tcPr>
          <w:p w:rsidR="00C7664D" w:rsidRPr="00A00E82" w:rsidRDefault="00C7664D" w:rsidP="00567E8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</w:tbl>
    <w:p w:rsidR="00F11EB8" w:rsidRDefault="00E45DC4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5DC4">
        <w:rPr>
          <w:rFonts w:ascii="Times New Roman" w:hAnsi="Times New Roman" w:cs="Times New Roman"/>
          <w:sz w:val="24"/>
          <w:szCs w:val="24"/>
          <w:lang w:val="uk-UA"/>
        </w:rPr>
        <w:t>Продолжение</w:t>
      </w:r>
      <w:proofErr w:type="spellEnd"/>
      <w:r w:rsidRPr="00E45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5DC4">
        <w:rPr>
          <w:rFonts w:ascii="Times New Roman" w:hAnsi="Times New Roman" w:cs="Times New Roman"/>
          <w:sz w:val="24"/>
          <w:szCs w:val="24"/>
          <w:lang w:val="uk-UA"/>
        </w:rPr>
        <w:t>приложения</w:t>
      </w:r>
      <w:proofErr w:type="spellEnd"/>
      <w:r w:rsidRPr="00E45DC4">
        <w:rPr>
          <w:rFonts w:ascii="Times New Roman" w:hAnsi="Times New Roman" w:cs="Times New Roman"/>
          <w:sz w:val="24"/>
          <w:szCs w:val="24"/>
          <w:lang w:val="uk-UA"/>
        </w:rPr>
        <w:t xml:space="preserve"> 33</w:t>
      </w:r>
    </w:p>
    <w:p w:rsidR="00C7664D" w:rsidRPr="00A00E82" w:rsidRDefault="00C7664D" w:rsidP="00567E8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Если при ориентировочном подсчете будут получены значительные величины потери электрозащитного тока, то необходимо проверить потери защитного тока непосредственными измерениями на указанных в п.5.10. объектах.</w:t>
      </w:r>
    </w:p>
    <w:p w:rsidR="00F11EB8" w:rsidRDefault="00F11EB8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EB8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5.12. </w:t>
      </w:r>
      <w:r w:rsidRPr="00A00E82">
        <w:rPr>
          <w:rFonts w:ascii="Times New Roman" w:hAnsi="Times New Roman" w:cs="Times New Roman"/>
          <w:sz w:val="24"/>
          <w:szCs w:val="24"/>
        </w:rPr>
        <w:t xml:space="preserve">В зависимости от факторов, </w:t>
      </w:r>
      <w:r w:rsidRPr="00F11EB8">
        <w:rPr>
          <w:rFonts w:ascii="Times New Roman" w:hAnsi="Times New Roman" w:cs="Times New Roman"/>
          <w:sz w:val="24"/>
          <w:szCs w:val="24"/>
        </w:rPr>
        <w:t>указанных в п</w:t>
      </w:r>
      <w:r w:rsidR="00F11EB8" w:rsidRPr="00F11EB8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11EB8">
        <w:rPr>
          <w:rFonts w:ascii="Times New Roman" w:hAnsi="Times New Roman" w:cs="Times New Roman"/>
          <w:sz w:val="24"/>
          <w:szCs w:val="24"/>
        </w:rPr>
        <w:t>5.1, определяется объем ремонтных работ и назначается вид ремонта.</w:t>
      </w:r>
    </w:p>
    <w:p w:rsidR="00C7664D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B8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возможность уменьшения потерь защитного тока за счет </w:t>
      </w:r>
      <w:r w:rsidRPr="00F11EB8">
        <w:rPr>
          <w:rFonts w:ascii="Times New Roman" w:eastAsia="Calibri" w:hAnsi="Times New Roman" w:cs="Times New Roman"/>
          <w:sz w:val="24"/>
          <w:szCs w:val="24"/>
        </w:rPr>
        <w:t>электроизолирующих соединений (фланцевых – ЭИФ, вставок)</w:t>
      </w:r>
      <w:r w:rsidRPr="00F11EB8">
        <w:rPr>
          <w:rFonts w:ascii="Times New Roman" w:hAnsi="Times New Roman" w:cs="Times New Roman"/>
          <w:sz w:val="24"/>
          <w:szCs w:val="24"/>
        </w:rPr>
        <w:t>, возможность прерывания работы электрозащитных установок, целесообразность размещения дополнительных электрозащитных установок или изменений режимов</w:t>
      </w:r>
      <w:r w:rsidRPr="00A00E82">
        <w:rPr>
          <w:rFonts w:ascii="Times New Roman" w:hAnsi="Times New Roman" w:cs="Times New Roman"/>
          <w:sz w:val="24"/>
          <w:szCs w:val="24"/>
        </w:rPr>
        <w:t xml:space="preserve"> их работы с целью полного использования мощности установок.</w:t>
      </w:r>
    </w:p>
    <w:p w:rsidR="00F11EB8" w:rsidRPr="00A00E82" w:rsidRDefault="00F11EB8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5.13. </w:t>
      </w:r>
      <w:r w:rsidRPr="00A00E82">
        <w:rPr>
          <w:rFonts w:ascii="Times New Roman" w:hAnsi="Times New Roman" w:cs="Times New Roman"/>
          <w:sz w:val="24"/>
          <w:szCs w:val="24"/>
        </w:rPr>
        <w:t>Общую оценку коррозионной опасности для газопроводов необходимо проводить в соответствии с таблицей 8 при наличии на газопроводах анодных и знакопеременных зон.</w:t>
      </w:r>
    </w:p>
    <w:p w:rsidR="00C7664D" w:rsidRPr="00F11EB8" w:rsidRDefault="00C7664D" w:rsidP="0056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Consolas" w:eastAsia="Times New Roman" w:hAnsi="Consolas" w:cs="Consolas"/>
          <w:sz w:val="24"/>
          <w:szCs w:val="24"/>
          <w:lang w:eastAsia="ru-RU"/>
        </w:rPr>
        <w:tab/>
      </w:r>
      <w:r w:rsidRPr="00F11EB8">
        <w:rPr>
          <w:rFonts w:ascii="Times New Roman" w:eastAsia="Times New Roman" w:hAnsi="Times New Roman"/>
          <w:sz w:val="24"/>
          <w:szCs w:val="24"/>
          <w:lang w:eastAsia="ru-RU"/>
        </w:rPr>
        <w:t>Таблица 8</w:t>
      </w:r>
    </w:p>
    <w:p w:rsidR="00C7664D" w:rsidRPr="00F11EB8" w:rsidRDefault="00C7664D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F11EB8">
        <w:rPr>
          <w:rFonts w:ascii="Times New Roman" w:hAnsi="Times New Roman" w:cs="Times New Roman"/>
          <w:bCs/>
          <w:sz w:val="23"/>
          <w:szCs w:val="23"/>
        </w:rPr>
        <w:t>Оценка коррозионной опасности при наличии анодных и знакопеременных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5"/>
        <w:gridCol w:w="2529"/>
      </w:tblGrid>
      <w:tr w:rsidR="00C7664D" w:rsidRPr="00A00E82" w:rsidTr="00567E8B">
        <w:tc>
          <w:tcPr>
            <w:tcW w:w="7763" w:type="dxa"/>
          </w:tcPr>
          <w:p w:rsidR="00C7664D" w:rsidRPr="00A00E82" w:rsidRDefault="00C7664D" w:rsidP="00567E8B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Наличие анодных и знакопеременных зон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Оценка в баллах</w:t>
            </w:r>
          </w:p>
        </w:tc>
      </w:tr>
      <w:tr w:rsidR="00C7664D" w:rsidRPr="00A00E82" w:rsidTr="00567E8B">
        <w:tc>
          <w:tcPr>
            <w:tcW w:w="7763" w:type="dxa"/>
          </w:tcPr>
          <w:p w:rsidR="00C7664D" w:rsidRPr="00A00E82" w:rsidRDefault="00C7664D" w:rsidP="00567E8B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Более 50% длины газопровода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HTM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7664D" w:rsidRPr="00A00E82" w:rsidTr="00567E8B">
        <w:tc>
          <w:tcPr>
            <w:tcW w:w="7763" w:type="dxa"/>
          </w:tcPr>
          <w:p w:rsidR="00C7664D" w:rsidRPr="00A00E82" w:rsidRDefault="00C7664D" w:rsidP="00567E8B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До 50% длины газопровода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HTM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C7664D" w:rsidRPr="00A00E82" w:rsidTr="00567E8B">
        <w:trPr>
          <w:trHeight w:val="294"/>
        </w:trPr>
        <w:tc>
          <w:tcPr>
            <w:tcW w:w="7763" w:type="dxa"/>
          </w:tcPr>
          <w:p w:rsidR="00C7664D" w:rsidRPr="00A00E82" w:rsidRDefault="00C7664D" w:rsidP="00567E8B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658" w:type="dxa"/>
          </w:tcPr>
          <w:p w:rsidR="00C7664D" w:rsidRPr="00A00E82" w:rsidRDefault="00C7664D" w:rsidP="00567E8B">
            <w:pPr>
              <w:pStyle w:val="HTM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0E8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C7664D" w:rsidRDefault="00C7664D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64D" w:rsidRDefault="00C7664D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6. </w:t>
      </w:r>
      <w:r w:rsidRPr="00A00E82">
        <w:rPr>
          <w:rFonts w:ascii="Times New Roman" w:hAnsi="Times New Roman" w:cs="Times New Roman"/>
          <w:b/>
          <w:sz w:val="24"/>
          <w:szCs w:val="24"/>
        </w:rPr>
        <w:t>Определение состояния электрохимической защиты газопроводов</w:t>
      </w:r>
    </w:p>
    <w:p w:rsidR="00F11EB8" w:rsidRPr="00A00E82" w:rsidRDefault="00F11EB8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o368"/>
      <w:bookmarkEnd w:id="26"/>
      <w:r>
        <w:rPr>
          <w:rFonts w:ascii="Times New Roman" w:hAnsi="Times New Roman" w:cs="Times New Roman"/>
          <w:sz w:val="24"/>
          <w:szCs w:val="24"/>
          <w:lang w:val="uk-UA"/>
        </w:rPr>
        <w:t>6.1. </w:t>
      </w:r>
      <w:r w:rsidRPr="00A00E82">
        <w:rPr>
          <w:rFonts w:ascii="Times New Roman" w:hAnsi="Times New Roman" w:cs="Times New Roman"/>
          <w:sz w:val="24"/>
          <w:szCs w:val="24"/>
        </w:rPr>
        <w:t>Наличие или отсутствие электрохимической защиты (далее - ЭХЗ) газопроводов определяется комплексно, согласно данным организации, эксплуатирующей газопроводы, и результатами непосредственного осмотра обследуемого газопровода.</w:t>
      </w:r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o369"/>
      <w:bookmarkEnd w:id="27"/>
      <w:r>
        <w:rPr>
          <w:rFonts w:ascii="Times New Roman" w:hAnsi="Times New Roman" w:cs="Times New Roman"/>
          <w:sz w:val="24"/>
          <w:szCs w:val="24"/>
          <w:lang w:val="uk-UA"/>
        </w:rPr>
        <w:t>6.2. </w:t>
      </w:r>
      <w:r w:rsidRPr="00A00E82">
        <w:rPr>
          <w:rFonts w:ascii="Times New Roman" w:hAnsi="Times New Roman" w:cs="Times New Roman"/>
          <w:sz w:val="24"/>
          <w:szCs w:val="24"/>
        </w:rPr>
        <w:t>Если на обследуемом газопроводе электрохимическая защита отсутствует, то оценка А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0E82">
        <w:rPr>
          <w:rFonts w:ascii="Times New Roman" w:hAnsi="Times New Roman" w:cs="Times New Roman"/>
          <w:sz w:val="24"/>
          <w:szCs w:val="24"/>
        </w:rPr>
        <w:t xml:space="preserve"> (п</w:t>
      </w:r>
      <w:r w:rsidR="00F11EB8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A00E82">
        <w:rPr>
          <w:rFonts w:ascii="Times New Roman" w:hAnsi="Times New Roman" w:cs="Times New Roman"/>
          <w:sz w:val="24"/>
          <w:szCs w:val="24"/>
        </w:rPr>
        <w:t>7.1.) принимается минус один балл, а при наличии электрохимической защиты оценка А6 принимается как один балл.</w:t>
      </w:r>
    </w:p>
    <w:p w:rsidR="00C7664D" w:rsidRDefault="00C7664D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64D" w:rsidRDefault="00C7664D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7. </w:t>
      </w:r>
      <w:r w:rsidRPr="00A00E82">
        <w:rPr>
          <w:rFonts w:ascii="Times New Roman" w:hAnsi="Times New Roman" w:cs="Times New Roman"/>
          <w:b/>
          <w:sz w:val="24"/>
          <w:szCs w:val="24"/>
        </w:rPr>
        <w:t>Оценка технического состояния газопроводов</w:t>
      </w:r>
      <w:bookmarkStart w:id="28" w:name="o371"/>
      <w:bookmarkEnd w:id="28"/>
    </w:p>
    <w:p w:rsidR="00F11EB8" w:rsidRPr="00A00E82" w:rsidRDefault="00F11EB8" w:rsidP="00567E8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7664D" w:rsidRPr="00A00E82" w:rsidRDefault="00C7664D" w:rsidP="00567E8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7.1. </w:t>
      </w:r>
      <w:r w:rsidRPr="00A00E8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газопровода определяется по балльной системе путем суммирования оценок по каждому показателю основных критериев согласно пункту 7.2. главы </w:t>
      </w:r>
      <w:r w:rsidRPr="00A00E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0E82">
        <w:rPr>
          <w:rFonts w:ascii="Times New Roman" w:hAnsi="Times New Roman" w:cs="Times New Roman"/>
          <w:sz w:val="24"/>
          <w:szCs w:val="24"/>
        </w:rPr>
        <w:t>:</w:t>
      </w:r>
    </w:p>
    <w:p w:rsidR="00F11EB8" w:rsidRDefault="00F11EB8" w:rsidP="00567E8B">
      <w:pPr>
        <w:pStyle w:val="HTML"/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o372"/>
      <w:bookmarkEnd w:id="29"/>
    </w:p>
    <w:p w:rsidR="00C7664D" w:rsidRPr="00A00E82" w:rsidRDefault="00C7664D" w:rsidP="00F11EB8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E82">
        <w:rPr>
          <w:rFonts w:ascii="Times New Roman" w:hAnsi="Times New Roman" w:cs="Times New Roman"/>
          <w:b/>
          <w:bCs/>
          <w:sz w:val="24"/>
          <w:szCs w:val="24"/>
        </w:rPr>
        <w:t>Sт</w:t>
      </w:r>
      <w:proofErr w:type="spellEnd"/>
      <w:r w:rsidRPr="00A00E82">
        <w:rPr>
          <w:rFonts w:ascii="Times New Roman" w:hAnsi="Times New Roman" w:cs="Times New Roman"/>
          <w:b/>
          <w:bCs/>
          <w:sz w:val="24"/>
          <w:szCs w:val="24"/>
        </w:rPr>
        <w:t xml:space="preserve"> = А</w:t>
      </w:r>
      <w:proofErr w:type="gramStart"/>
      <w:r w:rsidRPr="00A00E82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A00E82">
        <w:rPr>
          <w:rFonts w:ascii="Times New Roman" w:hAnsi="Times New Roman" w:cs="Times New Roman"/>
          <w:b/>
          <w:bCs/>
          <w:sz w:val="24"/>
          <w:szCs w:val="24"/>
        </w:rPr>
        <w:t xml:space="preserve"> + А2 + А3 + А4 + А5 + А6, </w:t>
      </w:r>
      <w:r w:rsidRPr="00A00E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11EB8" w:rsidRDefault="00C7664D" w:rsidP="00567E8B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o373"/>
      <w:bookmarkEnd w:id="30"/>
      <w:r w:rsidRPr="00A00E82">
        <w:rPr>
          <w:rFonts w:ascii="Times New Roman" w:hAnsi="Times New Roman" w:cs="Times New Roman"/>
          <w:sz w:val="24"/>
          <w:szCs w:val="24"/>
        </w:rPr>
        <w:t xml:space="preserve">где: S т - общая оценка в баллах; </w:t>
      </w:r>
    </w:p>
    <w:p w:rsidR="00F11EB8" w:rsidRDefault="00C7664D" w:rsidP="00567E8B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0E82">
        <w:rPr>
          <w:rFonts w:ascii="Times New Roman" w:hAnsi="Times New Roman" w:cs="Times New Roman"/>
          <w:sz w:val="24"/>
          <w:szCs w:val="24"/>
        </w:rPr>
        <w:t xml:space="preserve"> - количество баллов, характеризующих герметичность газопровода (табл. 1);</w:t>
      </w:r>
    </w:p>
    <w:p w:rsidR="00F11EB8" w:rsidRDefault="00C7664D" w:rsidP="00567E8B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А3 - количество баллов, характеризующих состояние металла трубы (табл. 5);</w:t>
      </w:r>
    </w:p>
    <w:p w:rsidR="00F11EB8" w:rsidRDefault="00C7664D" w:rsidP="00567E8B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0E82">
        <w:rPr>
          <w:rFonts w:ascii="Times New Roman" w:hAnsi="Times New Roman" w:cs="Times New Roman"/>
          <w:sz w:val="24"/>
          <w:szCs w:val="24"/>
        </w:rPr>
        <w:t xml:space="preserve"> - количество баллов, характеризующих качество сварных  стыков (табл. 6); </w:t>
      </w:r>
    </w:p>
    <w:p w:rsidR="00F11EB8" w:rsidRDefault="00C7664D" w:rsidP="00567E8B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А5 - количество баллов, характеризующих коррозионную опасность (табл. 8); </w:t>
      </w:r>
    </w:p>
    <w:p w:rsidR="00840740" w:rsidRPr="00840740" w:rsidRDefault="00C7664D" w:rsidP="00567E8B">
      <w:pPr>
        <w:pStyle w:val="HTML"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0E82">
        <w:rPr>
          <w:rFonts w:ascii="Times New Roman" w:hAnsi="Times New Roman" w:cs="Times New Roman"/>
          <w:sz w:val="24"/>
          <w:szCs w:val="24"/>
        </w:rPr>
        <w:t xml:space="preserve"> - количество баллов, при определении которых  характеризуется наличие или отсутствие электрохимической защиты (п.6.2.).</w:t>
      </w:r>
    </w:p>
    <w:sectPr w:rsidR="00840740" w:rsidRPr="00840740" w:rsidSect="00E45D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C4" w:rsidRDefault="00E45DC4" w:rsidP="00E45DC4">
      <w:pPr>
        <w:spacing w:after="0" w:line="240" w:lineRule="auto"/>
      </w:pPr>
      <w:r>
        <w:separator/>
      </w:r>
    </w:p>
  </w:endnote>
  <w:endnote w:type="continuationSeparator" w:id="0">
    <w:p w:rsidR="00E45DC4" w:rsidRDefault="00E45DC4" w:rsidP="00E4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C4" w:rsidRDefault="00E45DC4" w:rsidP="00E45DC4">
      <w:pPr>
        <w:spacing w:after="0" w:line="240" w:lineRule="auto"/>
      </w:pPr>
      <w:r>
        <w:separator/>
      </w:r>
    </w:p>
  </w:footnote>
  <w:footnote w:type="continuationSeparator" w:id="0">
    <w:p w:rsidR="00E45DC4" w:rsidRDefault="00E45DC4" w:rsidP="00E4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533268"/>
      <w:docPartObj>
        <w:docPartGallery w:val="Page Numbers (Top of Page)"/>
        <w:docPartUnique/>
      </w:docPartObj>
    </w:sdtPr>
    <w:sdtEndPr/>
    <w:sdtContent>
      <w:p w:rsidR="00E45DC4" w:rsidRDefault="00E45D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D6">
          <w:rPr>
            <w:noProof/>
          </w:rPr>
          <w:t>8</w:t>
        </w:r>
        <w:r>
          <w:fldChar w:fldCharType="end"/>
        </w:r>
      </w:p>
    </w:sdtContent>
  </w:sdt>
  <w:p w:rsidR="00E45DC4" w:rsidRDefault="00E45D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A63813"/>
    <w:multiLevelType w:val="multilevel"/>
    <w:tmpl w:val="E4D8E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7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10B90"/>
    <w:multiLevelType w:val="multilevel"/>
    <w:tmpl w:val="C32C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962"/>
    <w:multiLevelType w:val="multilevel"/>
    <w:tmpl w:val="DBCEF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0653ED"/>
    <w:multiLevelType w:val="multilevel"/>
    <w:tmpl w:val="A2C4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19"/>
  </w:num>
  <w:num w:numId="11">
    <w:abstractNumId w:val="24"/>
  </w:num>
  <w:num w:numId="12">
    <w:abstractNumId w:val="14"/>
  </w:num>
  <w:num w:numId="13">
    <w:abstractNumId w:val="3"/>
  </w:num>
  <w:num w:numId="14">
    <w:abstractNumId w:val="6"/>
  </w:num>
  <w:num w:numId="15">
    <w:abstractNumId w:val="21"/>
  </w:num>
  <w:num w:numId="16">
    <w:abstractNumId w:val="18"/>
  </w:num>
  <w:num w:numId="17">
    <w:abstractNumId w:val="25"/>
  </w:num>
  <w:num w:numId="18">
    <w:abstractNumId w:val="22"/>
  </w:num>
  <w:num w:numId="19">
    <w:abstractNumId w:val="20"/>
  </w:num>
  <w:num w:numId="20">
    <w:abstractNumId w:val="7"/>
  </w:num>
  <w:num w:numId="21">
    <w:abstractNumId w:val="13"/>
  </w:num>
  <w:num w:numId="22">
    <w:abstractNumId w:val="12"/>
  </w:num>
  <w:num w:numId="23">
    <w:abstractNumId w:val="0"/>
  </w:num>
  <w:num w:numId="24">
    <w:abstractNumId w:val="26"/>
  </w:num>
  <w:num w:numId="25">
    <w:abstractNumId w:val="17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445AA"/>
    <w:rsid w:val="00065F6D"/>
    <w:rsid w:val="00123B60"/>
    <w:rsid w:val="00164BC9"/>
    <w:rsid w:val="00184EFB"/>
    <w:rsid w:val="00186F46"/>
    <w:rsid w:val="00195262"/>
    <w:rsid w:val="002565DC"/>
    <w:rsid w:val="00265CEA"/>
    <w:rsid w:val="00275821"/>
    <w:rsid w:val="00277CFF"/>
    <w:rsid w:val="00293F51"/>
    <w:rsid w:val="00295B2F"/>
    <w:rsid w:val="002B6FFB"/>
    <w:rsid w:val="002E2800"/>
    <w:rsid w:val="00330E01"/>
    <w:rsid w:val="00331A6B"/>
    <w:rsid w:val="0034691A"/>
    <w:rsid w:val="003662D1"/>
    <w:rsid w:val="003708B1"/>
    <w:rsid w:val="003B5BB9"/>
    <w:rsid w:val="003D0300"/>
    <w:rsid w:val="00421B28"/>
    <w:rsid w:val="00482110"/>
    <w:rsid w:val="00483FC9"/>
    <w:rsid w:val="00491792"/>
    <w:rsid w:val="004D2C18"/>
    <w:rsid w:val="004D5AF7"/>
    <w:rsid w:val="005653C1"/>
    <w:rsid w:val="00567E8B"/>
    <w:rsid w:val="00597140"/>
    <w:rsid w:val="005B260C"/>
    <w:rsid w:val="005D3035"/>
    <w:rsid w:val="005F27B3"/>
    <w:rsid w:val="006000FE"/>
    <w:rsid w:val="00610AF1"/>
    <w:rsid w:val="0061667D"/>
    <w:rsid w:val="0065055C"/>
    <w:rsid w:val="00690F95"/>
    <w:rsid w:val="006A4970"/>
    <w:rsid w:val="006B1CED"/>
    <w:rsid w:val="006E30DB"/>
    <w:rsid w:val="00747C31"/>
    <w:rsid w:val="00755B04"/>
    <w:rsid w:val="00792FC1"/>
    <w:rsid w:val="007C4326"/>
    <w:rsid w:val="00811B8A"/>
    <w:rsid w:val="008274FF"/>
    <w:rsid w:val="00840740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3F91"/>
    <w:rsid w:val="00A45873"/>
    <w:rsid w:val="00A47D83"/>
    <w:rsid w:val="00A661BB"/>
    <w:rsid w:val="00AF71D6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40E7F"/>
    <w:rsid w:val="00C7595C"/>
    <w:rsid w:val="00C7664D"/>
    <w:rsid w:val="00C93580"/>
    <w:rsid w:val="00D27B6A"/>
    <w:rsid w:val="00D52F9C"/>
    <w:rsid w:val="00D56A78"/>
    <w:rsid w:val="00D9418A"/>
    <w:rsid w:val="00DB0216"/>
    <w:rsid w:val="00E45DC4"/>
    <w:rsid w:val="00E80F52"/>
    <w:rsid w:val="00E94965"/>
    <w:rsid w:val="00EA3178"/>
    <w:rsid w:val="00F11EB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D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D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D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D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0976-F3E2-48F8-B8E8-4C410EF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8</cp:revision>
  <dcterms:created xsi:type="dcterms:W3CDTF">2019-08-08T07:03:00Z</dcterms:created>
  <dcterms:modified xsi:type="dcterms:W3CDTF">2019-09-12T12:31:00Z</dcterms:modified>
</cp:coreProperties>
</file>