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49CB" w14:textId="1A5FC850" w:rsidR="00974556" w:rsidRDefault="00974556">
      <w:pPr>
        <w:spacing w:line="1" w:lineRule="exact"/>
      </w:pPr>
    </w:p>
    <w:p w14:paraId="62AE04D3" w14:textId="322D4CFE" w:rsidR="00964425" w:rsidRDefault="00964425" w:rsidP="00964425">
      <w:pPr>
        <w:pStyle w:val="1"/>
        <w:shd w:val="clear" w:color="auto" w:fill="auto"/>
        <w:spacing w:after="300"/>
        <w:ind w:left="5120" w:firstLine="0"/>
        <w:jc w:val="right"/>
      </w:pPr>
      <w:r>
        <w:rPr>
          <w:sz w:val="22"/>
          <w:szCs w:val="22"/>
        </w:rPr>
        <w:t>П</w:t>
      </w:r>
      <w:r w:rsidRPr="00CF24C3">
        <w:rPr>
          <w:sz w:val="22"/>
          <w:szCs w:val="22"/>
        </w:rPr>
        <w:t>риложени</w:t>
      </w:r>
      <w:r w:rsidR="00232771">
        <w:rPr>
          <w:sz w:val="22"/>
          <w:szCs w:val="22"/>
        </w:rPr>
        <w:t>е</w:t>
      </w:r>
      <w:r w:rsidRPr="00CF24C3">
        <w:rPr>
          <w:sz w:val="22"/>
          <w:szCs w:val="22"/>
        </w:rPr>
        <w:t xml:space="preserve"> 2</w:t>
      </w:r>
    </w:p>
    <w:p w14:paraId="0E67A326" w14:textId="4C022412" w:rsidR="00974556" w:rsidRDefault="002C3CFB" w:rsidP="00AB525E">
      <w:pPr>
        <w:pStyle w:val="1"/>
        <w:shd w:val="clear" w:color="auto" w:fill="auto"/>
        <w:ind w:left="5120" w:firstLine="0"/>
      </w:pPr>
      <w:r>
        <w:t xml:space="preserve">УТВЕРЖДЕНО </w:t>
      </w:r>
      <w:r w:rsidR="00CB4423">
        <w:br/>
      </w:r>
      <w:r>
        <w:t>Указом Главы Донецкой Народной Республики от 27.10.2017 №290</w:t>
      </w:r>
    </w:p>
    <w:p w14:paraId="092EAFE4" w14:textId="71E33528" w:rsidR="00AB525E" w:rsidRDefault="00AB525E">
      <w:pPr>
        <w:pStyle w:val="1"/>
        <w:shd w:val="clear" w:color="auto" w:fill="auto"/>
        <w:spacing w:after="300"/>
        <w:ind w:left="5120" w:firstLine="0"/>
      </w:pPr>
      <w:r>
        <w:rPr>
          <w:rStyle w:val="af1"/>
        </w:rPr>
        <w:t>(</w:t>
      </w:r>
      <w:r w:rsidRPr="00AB525E">
        <w:rPr>
          <w:rStyle w:val="af1"/>
          <w:i w:val="0"/>
          <w:iCs w:val="0"/>
          <w:color w:val="auto"/>
        </w:rPr>
        <w:t>в ред. Указа Главы ДНР</w:t>
      </w:r>
      <w:r w:rsidRPr="00AB525E">
        <w:rPr>
          <w:rStyle w:val="af1"/>
          <w:color w:val="auto"/>
        </w:rPr>
        <w:t> </w:t>
      </w:r>
      <w:hyperlink r:id="rId8" w:anchor="0001-374-20191227-m2-2-2" w:tgtFrame="_blank" w:history="1">
        <w:r>
          <w:rPr>
            <w:rStyle w:val="af1"/>
            <w:color w:val="0000FF"/>
            <w:u w:val="single"/>
          </w:rPr>
          <w:t>от 27.12.2019 № 374</w:t>
        </w:r>
      </w:hyperlink>
      <w:r>
        <w:rPr>
          <w:rStyle w:val="af1"/>
        </w:rPr>
        <w:t>)</w:t>
      </w:r>
    </w:p>
    <w:p w14:paraId="38EAA87F" w14:textId="77777777" w:rsidR="00974556" w:rsidRDefault="002C3CFB">
      <w:pPr>
        <w:pStyle w:val="1"/>
        <w:shd w:val="clear" w:color="auto" w:fill="auto"/>
        <w:spacing w:after="300"/>
        <w:ind w:firstLine="0"/>
        <w:jc w:val="center"/>
      </w:pPr>
      <w:r>
        <w:rPr>
          <w:b/>
          <w:bCs/>
        </w:rPr>
        <w:t>Порядок</w:t>
      </w:r>
      <w:r>
        <w:rPr>
          <w:b/>
          <w:bCs/>
        </w:rPr>
        <w:br/>
        <w:t>предоставления и оформления документов</w:t>
      </w:r>
      <w:r>
        <w:rPr>
          <w:b/>
          <w:bCs/>
        </w:rPr>
        <w:br/>
        <w:t>для назначения пенсий</w:t>
      </w:r>
    </w:p>
    <w:p w14:paraId="1D4ED2C0" w14:textId="77777777" w:rsidR="00974556" w:rsidRDefault="002C3CFB">
      <w:pPr>
        <w:pStyle w:val="1"/>
        <w:shd w:val="clear" w:color="auto" w:fill="auto"/>
        <w:spacing w:after="300"/>
        <w:ind w:firstLine="0"/>
        <w:jc w:val="center"/>
      </w:pPr>
      <w:r>
        <w:rPr>
          <w:b/>
          <w:bCs/>
        </w:rPr>
        <w:t>I. Обращение за назначением пенсии</w:t>
      </w:r>
    </w:p>
    <w:p w14:paraId="73F7D595" w14:textId="77777777" w:rsidR="00974556" w:rsidRDefault="002C3CFB">
      <w:pPr>
        <w:pStyle w:val="1"/>
        <w:numPr>
          <w:ilvl w:val="0"/>
          <w:numId w:val="14"/>
        </w:numPr>
        <w:shd w:val="clear" w:color="auto" w:fill="auto"/>
        <w:tabs>
          <w:tab w:val="left" w:pos="1419"/>
        </w:tabs>
        <w:spacing w:after="300"/>
        <w:ind w:firstLine="740"/>
        <w:jc w:val="both"/>
      </w:pPr>
      <w:r>
        <w:t>Порядок предоставления и оформления документов для назначения пенсий (далее - Порядок) регулирует вопросы относительно предоставления и оформления документов для назначения пенсий лицам, указанным в пункте 1.2 Временного порядка назначения пенсий лицам, уволенным с военной службы, и некоторым другим лицам.</w:t>
      </w:r>
    </w:p>
    <w:p w14:paraId="05C99A10" w14:textId="2AC90635" w:rsidR="00974556" w:rsidRDefault="002C3CFB">
      <w:pPr>
        <w:pStyle w:val="1"/>
        <w:numPr>
          <w:ilvl w:val="0"/>
          <w:numId w:val="14"/>
        </w:numPr>
        <w:shd w:val="clear" w:color="auto" w:fill="auto"/>
        <w:tabs>
          <w:tab w:val="left" w:pos="1419"/>
        </w:tabs>
        <w:ind w:firstLine="740"/>
        <w:jc w:val="both"/>
      </w:pPr>
      <w:r>
        <w:t xml:space="preserve">Заявления о назначении пенсии за выслугу лет и по инвалидности лицам, уволенным со службы, имеющим право на пенсию, подаются этими лицами в Пенсионный фонд Донецкой Народной Республики (далее - Пенсионный фонд) через уполномоченные структурные подразделения Министерства внутренних дел Донецкой Народной Республики, Министерства по делам гражданской обороны, чрезвычайным ситуациям и ликвидации последствий стихийных бедствий Донецкой Народной Республики, Министерства государственной безопасности Донецкой Народной Республики, Министерства юстиции Донецкой Народной Республики, Министерства доходов и сборов Донецкой Народной Республики, </w:t>
      </w:r>
      <w:r w:rsidR="00AB525E" w:rsidRPr="00AB525E">
        <w:t>Управ</w:t>
      </w:r>
      <w:bookmarkStart w:id="0" w:name="_GoBack"/>
      <w:bookmarkEnd w:id="0"/>
      <w:r w:rsidR="00AB525E" w:rsidRPr="00AB525E">
        <w:t>ление Народной милиции</w:t>
      </w:r>
      <w:r>
        <w:t xml:space="preserve"> Донецкой Народной Республики (далее - министерства).</w:t>
      </w:r>
    </w:p>
    <w:p w14:paraId="2227FEB4" w14:textId="77777777" w:rsidR="00974556" w:rsidRDefault="002C3CFB">
      <w:pPr>
        <w:pStyle w:val="1"/>
        <w:shd w:val="clear" w:color="auto" w:fill="auto"/>
        <w:spacing w:after="300"/>
        <w:ind w:firstLine="740"/>
        <w:jc w:val="both"/>
      </w:pPr>
      <w:r>
        <w:t>Министерства определяют уполномоченные структурные подразделения, на которые по их решению возлагаются функции по подготовке и предоставлению в Пенсионный фонд необходимых для назначения пенсии документов (далее - уполномоченные структурные подразделения).</w:t>
      </w:r>
    </w:p>
    <w:p w14:paraId="7362FD47" w14:textId="77777777" w:rsidR="00974556" w:rsidRDefault="002C3CFB">
      <w:pPr>
        <w:pStyle w:val="1"/>
        <w:numPr>
          <w:ilvl w:val="0"/>
          <w:numId w:val="14"/>
        </w:numPr>
        <w:shd w:val="clear" w:color="auto" w:fill="auto"/>
        <w:tabs>
          <w:tab w:val="left" w:pos="1419"/>
        </w:tabs>
        <w:ind w:firstLine="740"/>
        <w:jc w:val="both"/>
      </w:pPr>
      <w:r>
        <w:t>Заявления о назначении пенсии по случаю потери кормильца подаются членами семьи умершего кормильца, которому на момент смерти не была назначена пенсия, в Пенсионный фонд через уполномоченные структурные подразделения министерств. В том же порядке подаются заявления о назначении пенсии в случае отсутствия в Пенсионном фонде пенсионного дела умершего кормильца.</w:t>
      </w:r>
    </w:p>
    <w:p w14:paraId="65B0A20E" w14:textId="48FA1C55" w:rsidR="00974556" w:rsidRDefault="002C3CFB" w:rsidP="00DC0D98">
      <w:pPr>
        <w:pStyle w:val="1"/>
        <w:shd w:val="clear" w:color="auto" w:fill="auto"/>
        <w:spacing w:after="300"/>
        <w:ind w:firstLine="740"/>
        <w:jc w:val="both"/>
      </w:pPr>
      <w:r>
        <w:t>Если умершему кормильцу уже была назначена пенсия, заявление о назначении пенсии по случаю потери кормильца подается членами семьи непосредственно в Пенсионный фонд.</w:t>
      </w:r>
      <w:r w:rsidR="00A179A4">
        <w:t xml:space="preserve"> </w:t>
      </w:r>
    </w:p>
    <w:p w14:paraId="5D594272" w14:textId="7D5E8D6C" w:rsidR="00D975E6" w:rsidRDefault="00D975E6" w:rsidP="00923035">
      <w:pPr>
        <w:pStyle w:val="1"/>
        <w:numPr>
          <w:ilvl w:val="0"/>
          <w:numId w:val="14"/>
        </w:numPr>
        <w:shd w:val="clear" w:color="auto" w:fill="auto"/>
        <w:ind w:firstLine="851"/>
        <w:jc w:val="both"/>
      </w:pPr>
      <w:r>
        <w:t>В случае, если лицо, которому назначается пенсия по случаю потери</w:t>
      </w:r>
      <w:r w:rsidR="00923035">
        <w:t xml:space="preserve"> </w:t>
      </w:r>
      <w:r>
        <w:t>кормильца, является несовершеннолетним или недееспособным, заявление о</w:t>
      </w:r>
      <w:r w:rsidR="00923035">
        <w:t xml:space="preserve"> </w:t>
      </w:r>
    </w:p>
    <w:p w14:paraId="190940F0" w14:textId="4A0101C9" w:rsidR="00D975E6" w:rsidRDefault="00D975E6" w:rsidP="00923035">
      <w:pPr>
        <w:pStyle w:val="1"/>
        <w:shd w:val="clear" w:color="auto" w:fill="auto"/>
        <w:tabs>
          <w:tab w:val="left" w:pos="1417"/>
        </w:tabs>
        <w:ind w:firstLine="0"/>
        <w:jc w:val="both"/>
      </w:pPr>
      <w:r>
        <w:t>назначении пенсии подается законными</w:t>
      </w:r>
      <w:r w:rsidRPr="00DC0D98">
        <w:t xml:space="preserve"> </w:t>
      </w:r>
      <w:r>
        <w:t>представителями.</w:t>
      </w:r>
    </w:p>
    <w:p w14:paraId="1E646DDF" w14:textId="77777777" w:rsidR="00D975E6" w:rsidRDefault="00D975E6" w:rsidP="00D975E6">
      <w:pPr>
        <w:pStyle w:val="1"/>
        <w:shd w:val="clear" w:color="auto" w:fill="auto"/>
        <w:tabs>
          <w:tab w:val="left" w:pos="1417"/>
        </w:tabs>
        <w:ind w:left="740" w:firstLine="0"/>
        <w:jc w:val="both"/>
      </w:pPr>
    </w:p>
    <w:p w14:paraId="4445D5FE" w14:textId="4D8C4393" w:rsidR="00974556" w:rsidRDefault="002C3CFB">
      <w:pPr>
        <w:pStyle w:val="1"/>
        <w:numPr>
          <w:ilvl w:val="0"/>
          <w:numId w:val="14"/>
        </w:numPr>
        <w:shd w:val="clear" w:color="auto" w:fill="auto"/>
        <w:tabs>
          <w:tab w:val="left" w:pos="1417"/>
        </w:tabs>
        <w:ind w:firstLine="740"/>
        <w:jc w:val="both"/>
      </w:pPr>
      <w:r>
        <w:lastRenderedPageBreak/>
        <w:t>Заявление о переводе с одного вида пенсии на другой подается в Пенсионный фонд заявителем, а при необходимости - его законным представителем.</w:t>
      </w:r>
    </w:p>
    <w:p w14:paraId="2E5C8E6A" w14:textId="77777777" w:rsidR="00923035" w:rsidRDefault="00923035" w:rsidP="00923035">
      <w:pPr>
        <w:pStyle w:val="1"/>
        <w:shd w:val="clear" w:color="auto" w:fill="auto"/>
        <w:tabs>
          <w:tab w:val="left" w:pos="1417"/>
        </w:tabs>
        <w:ind w:firstLine="0"/>
        <w:jc w:val="right"/>
        <w:rPr>
          <w:sz w:val="22"/>
          <w:szCs w:val="22"/>
        </w:rPr>
      </w:pPr>
      <w:r w:rsidRPr="00CF24C3">
        <w:rPr>
          <w:sz w:val="22"/>
          <w:szCs w:val="22"/>
        </w:rPr>
        <w:t>Продолжение приложения 2</w:t>
      </w:r>
    </w:p>
    <w:p w14:paraId="29FEC872" w14:textId="77777777" w:rsidR="00923035" w:rsidRDefault="00923035">
      <w:pPr>
        <w:pStyle w:val="1"/>
        <w:shd w:val="clear" w:color="auto" w:fill="auto"/>
        <w:ind w:firstLine="740"/>
        <w:jc w:val="both"/>
      </w:pPr>
    </w:p>
    <w:p w14:paraId="462F421F" w14:textId="6346B0F0" w:rsidR="00974556" w:rsidRDefault="002C3CFB">
      <w:pPr>
        <w:pStyle w:val="1"/>
        <w:shd w:val="clear" w:color="auto" w:fill="auto"/>
        <w:ind w:firstLine="740"/>
        <w:jc w:val="both"/>
      </w:pPr>
      <w:r>
        <w:t>Заявление о прекращении выплаты пенсии в связи с выездом за границу, возобновлении выплаты ранее назначенной пенсии, о выплате части пенсии на нетрудоспособных членов семьи лица, которое находится на полном государственном обеспечении и т.п., подается пенсионером или его законным представителем лично в Пенсионный фонд</w:t>
      </w:r>
      <w:r>
        <w:rPr>
          <w:b/>
          <w:bCs/>
        </w:rPr>
        <w:t xml:space="preserve">. </w:t>
      </w:r>
      <w:r>
        <w:t>При этом в заявлении о выплате части пенсии нетрудоспособным членам семьи лица, которое находится на полном государственном обеспечении, указывается адрес получателей этой части пенсии.</w:t>
      </w:r>
    </w:p>
    <w:p w14:paraId="1E0878BA" w14:textId="77777777" w:rsidR="00974556" w:rsidRDefault="002C3CFB">
      <w:pPr>
        <w:pStyle w:val="1"/>
        <w:shd w:val="clear" w:color="auto" w:fill="auto"/>
        <w:ind w:firstLine="740"/>
        <w:jc w:val="both"/>
      </w:pPr>
      <w:r>
        <w:t>Осужденное к лишению свободы лицо подает в Пенсионный фонд заявление о назначении пенсии через администрацию учреждения, где это лицо отбывает наказание, либо через своего представителя.</w:t>
      </w:r>
    </w:p>
    <w:p w14:paraId="460C4CC4" w14:textId="77777777" w:rsidR="00974556" w:rsidRDefault="002C3CFB">
      <w:pPr>
        <w:pStyle w:val="1"/>
        <w:shd w:val="clear" w:color="auto" w:fill="auto"/>
        <w:spacing w:after="320"/>
        <w:ind w:firstLine="740"/>
        <w:jc w:val="both"/>
      </w:pPr>
      <w:r>
        <w:t>Администрация учреждения, где пенсионер отбывает наказание, направляет в Пенсионный фонд сообщение о прибытии осужденного в учреждение и справку учреждения с указанием реквизитов для перечисления пенсии.</w:t>
      </w:r>
    </w:p>
    <w:p w14:paraId="60E9C2D5" w14:textId="77777777" w:rsidR="00974556" w:rsidRDefault="002C3CFB">
      <w:pPr>
        <w:pStyle w:val="1"/>
        <w:numPr>
          <w:ilvl w:val="0"/>
          <w:numId w:val="14"/>
        </w:numPr>
        <w:shd w:val="clear" w:color="auto" w:fill="auto"/>
        <w:tabs>
          <w:tab w:val="left" w:pos="1417"/>
        </w:tabs>
        <w:ind w:firstLine="740"/>
        <w:jc w:val="both"/>
      </w:pPr>
      <w:r>
        <w:t>Днем обращения за назначением пенсии считается день подачи в Пенсионный фонд письменного заявления о назначении пенсии со всеми необходимыми для решения этого вопроса документами, а в случае пересылки заявления и документов по почте - дата их отправления.</w:t>
      </w:r>
    </w:p>
    <w:p w14:paraId="02E45819" w14:textId="77777777" w:rsidR="00974556" w:rsidRDefault="002C3CFB">
      <w:pPr>
        <w:pStyle w:val="1"/>
        <w:shd w:val="clear" w:color="auto" w:fill="auto"/>
        <w:spacing w:after="320"/>
        <w:ind w:firstLine="740"/>
        <w:jc w:val="both"/>
      </w:pPr>
      <w:r>
        <w:t>В случае, если к заявлению о назначении пенсии приложены не все необходимые документы, заявителю (должностному лицу уполномоченного структурного подразделения) разъясняется, какие документы необходимо предоставить дополнительно. При предоставлении документов до истечения трехмесячного срока со дня получения разъяснения днем обращения по назначению пенсии считается день подачи заявления или дата отправления документов по почте.</w:t>
      </w:r>
    </w:p>
    <w:p w14:paraId="0D146E15" w14:textId="77777777" w:rsidR="00974556" w:rsidRDefault="002C3CFB">
      <w:pPr>
        <w:pStyle w:val="1"/>
        <w:numPr>
          <w:ilvl w:val="0"/>
          <w:numId w:val="2"/>
        </w:numPr>
        <w:shd w:val="clear" w:color="auto" w:fill="auto"/>
        <w:tabs>
          <w:tab w:val="left" w:pos="701"/>
        </w:tabs>
        <w:spacing w:after="320"/>
        <w:ind w:firstLine="0"/>
        <w:jc w:val="center"/>
      </w:pPr>
      <w:r>
        <w:rPr>
          <w:b/>
          <w:bCs/>
        </w:rPr>
        <w:t>Документы, необходимые для назначения пенсии</w:t>
      </w:r>
    </w:p>
    <w:p w14:paraId="63CFDB8B" w14:textId="77777777" w:rsidR="00974556" w:rsidRDefault="002C3CFB">
      <w:pPr>
        <w:pStyle w:val="1"/>
        <w:numPr>
          <w:ilvl w:val="0"/>
          <w:numId w:val="15"/>
        </w:numPr>
        <w:shd w:val="clear" w:color="auto" w:fill="auto"/>
        <w:tabs>
          <w:tab w:val="left" w:pos="1417"/>
        </w:tabs>
        <w:ind w:firstLine="740"/>
        <w:jc w:val="both"/>
      </w:pPr>
      <w:r>
        <w:t>Для назначения пенсии за выслугу лет и по инвалидности подаются следующие документы:</w:t>
      </w:r>
    </w:p>
    <w:p w14:paraId="38265202" w14:textId="77777777" w:rsidR="00974556" w:rsidRDefault="002C3CFB">
      <w:pPr>
        <w:pStyle w:val="1"/>
        <w:shd w:val="clear" w:color="auto" w:fill="auto"/>
        <w:ind w:firstLine="740"/>
        <w:jc w:val="both"/>
      </w:pPr>
      <w:r>
        <w:t>заявление о назначении пенсии (</w:t>
      </w:r>
      <w:hyperlink r:id="rId9" w:history="1">
        <w:r>
          <w:t>Приложение 1);</w:t>
        </w:r>
      </w:hyperlink>
    </w:p>
    <w:p w14:paraId="3124DE36" w14:textId="77777777" w:rsidR="00974556" w:rsidRDefault="002C3CFB">
      <w:pPr>
        <w:pStyle w:val="1"/>
        <w:shd w:val="clear" w:color="auto" w:fill="auto"/>
        <w:ind w:firstLine="740"/>
        <w:jc w:val="both"/>
      </w:pPr>
      <w:r>
        <w:t>расчет выслуги лет (общего страхового стажа);</w:t>
      </w:r>
    </w:p>
    <w:p w14:paraId="6E6D7C08" w14:textId="77777777" w:rsidR="00974556" w:rsidRDefault="002C3CFB">
      <w:pPr>
        <w:pStyle w:val="1"/>
        <w:shd w:val="clear" w:color="auto" w:fill="auto"/>
        <w:ind w:firstLine="740"/>
        <w:jc w:val="both"/>
      </w:pPr>
      <w:r>
        <w:t>денежный аттестат или справка о размере денежного довольствия (денежного обеспечения);</w:t>
      </w:r>
    </w:p>
    <w:p w14:paraId="226D7A80" w14:textId="77777777" w:rsidR="00A804EE" w:rsidRDefault="002C3CFB" w:rsidP="00A804EE">
      <w:pPr>
        <w:pStyle w:val="1"/>
        <w:shd w:val="clear" w:color="auto" w:fill="auto"/>
        <w:ind w:firstLine="740"/>
        <w:jc w:val="both"/>
      </w:pPr>
      <w:r>
        <w:t>выписка из приказов об увольнении со службы и исключении из списков личного состава;</w:t>
      </w:r>
    </w:p>
    <w:p w14:paraId="135174C2" w14:textId="2AF8B611" w:rsidR="00974556" w:rsidRDefault="002C3CFB" w:rsidP="00A804EE">
      <w:pPr>
        <w:pStyle w:val="1"/>
        <w:shd w:val="clear" w:color="auto" w:fill="auto"/>
        <w:spacing w:after="320"/>
        <w:ind w:firstLine="740"/>
        <w:jc w:val="both"/>
      </w:pPr>
      <w:r>
        <w:t>военно-медицинские документы о состоянии здоровья уволенного лица (за исключением лиц, которые не проходили военно-врачебную комиссию);</w:t>
      </w:r>
    </w:p>
    <w:p w14:paraId="36F8EEC0" w14:textId="054F03F2" w:rsidR="00974556" w:rsidRDefault="002C3CFB">
      <w:pPr>
        <w:pStyle w:val="1"/>
        <w:shd w:val="clear" w:color="auto" w:fill="auto"/>
        <w:ind w:firstLine="740"/>
        <w:jc w:val="both"/>
      </w:pPr>
      <w:r>
        <w:t>документы о страховом стаже;</w:t>
      </w:r>
    </w:p>
    <w:p w14:paraId="06EBFF0A" w14:textId="77777777" w:rsidR="00974556" w:rsidRDefault="002C3CFB">
      <w:pPr>
        <w:pStyle w:val="1"/>
        <w:shd w:val="clear" w:color="auto" w:fill="auto"/>
        <w:ind w:firstLine="740"/>
        <w:jc w:val="both"/>
      </w:pPr>
      <w:r>
        <w:t>справка МСЭК о признании лица инвалидом;</w:t>
      </w:r>
    </w:p>
    <w:p w14:paraId="623C7CCF" w14:textId="77777777" w:rsidR="00923035" w:rsidRDefault="002C3CFB">
      <w:pPr>
        <w:pStyle w:val="1"/>
        <w:shd w:val="clear" w:color="auto" w:fill="auto"/>
        <w:ind w:firstLine="740"/>
        <w:jc w:val="both"/>
      </w:pPr>
      <w:r>
        <w:t xml:space="preserve">документы (копии соответствующих удостоверений и документов, которые стали основанием для их выдачи) о признании заявителя ветераном войны, лицом, на </w:t>
      </w:r>
      <w:r>
        <w:lastRenderedPageBreak/>
        <w:t xml:space="preserve">которое распространяется действие Закона Донецкой Народной Республики «О </w:t>
      </w:r>
    </w:p>
    <w:p w14:paraId="2E941D3F" w14:textId="77777777" w:rsidR="00923035" w:rsidRDefault="00923035" w:rsidP="00923035">
      <w:pPr>
        <w:pStyle w:val="1"/>
        <w:shd w:val="clear" w:color="auto" w:fill="auto"/>
        <w:tabs>
          <w:tab w:val="left" w:pos="1417"/>
        </w:tabs>
        <w:ind w:firstLine="0"/>
        <w:jc w:val="right"/>
        <w:rPr>
          <w:sz w:val="22"/>
          <w:szCs w:val="22"/>
        </w:rPr>
      </w:pPr>
    </w:p>
    <w:p w14:paraId="4E6789F6" w14:textId="77777777" w:rsidR="00923035" w:rsidRDefault="00923035" w:rsidP="00923035">
      <w:pPr>
        <w:pStyle w:val="1"/>
        <w:shd w:val="clear" w:color="auto" w:fill="auto"/>
        <w:tabs>
          <w:tab w:val="left" w:pos="1417"/>
        </w:tabs>
        <w:ind w:firstLine="0"/>
        <w:jc w:val="right"/>
        <w:rPr>
          <w:sz w:val="22"/>
          <w:szCs w:val="22"/>
        </w:rPr>
      </w:pPr>
    </w:p>
    <w:p w14:paraId="3832E139" w14:textId="0332C977" w:rsidR="00923035" w:rsidRDefault="00923035" w:rsidP="00923035">
      <w:pPr>
        <w:pStyle w:val="1"/>
        <w:shd w:val="clear" w:color="auto" w:fill="auto"/>
        <w:tabs>
          <w:tab w:val="left" w:pos="1417"/>
        </w:tabs>
        <w:ind w:firstLine="0"/>
        <w:jc w:val="right"/>
        <w:rPr>
          <w:sz w:val="22"/>
          <w:szCs w:val="22"/>
        </w:rPr>
      </w:pPr>
      <w:r w:rsidRPr="00CF24C3">
        <w:rPr>
          <w:sz w:val="22"/>
          <w:szCs w:val="22"/>
        </w:rPr>
        <w:t>Продолжение приложения 2</w:t>
      </w:r>
    </w:p>
    <w:p w14:paraId="4D43AC39" w14:textId="77777777" w:rsidR="00923035" w:rsidRDefault="00923035" w:rsidP="00923035">
      <w:pPr>
        <w:pStyle w:val="1"/>
        <w:shd w:val="clear" w:color="auto" w:fill="auto"/>
        <w:ind w:firstLine="0"/>
        <w:jc w:val="both"/>
      </w:pPr>
    </w:p>
    <w:p w14:paraId="26A3DA75" w14:textId="458CFFF1" w:rsidR="00974556" w:rsidRDefault="002C3CFB" w:rsidP="00923035">
      <w:pPr>
        <w:pStyle w:val="1"/>
        <w:shd w:val="clear" w:color="auto" w:fill="auto"/>
        <w:ind w:firstLine="0"/>
        <w:jc w:val="both"/>
      </w:pPr>
      <w:r>
        <w:t>социальной защите ветеранов войны»;</w:t>
      </w:r>
    </w:p>
    <w:p w14:paraId="77007A57" w14:textId="77777777" w:rsidR="00974556" w:rsidRDefault="002C3CFB">
      <w:pPr>
        <w:pStyle w:val="1"/>
        <w:shd w:val="clear" w:color="auto" w:fill="auto"/>
        <w:ind w:firstLine="740"/>
        <w:jc w:val="both"/>
      </w:pPr>
      <w:r>
        <w:t>копия документа о присвоении регистрационного номера учетной карточки плательщика налогов (идентификационный номер);</w:t>
      </w:r>
    </w:p>
    <w:p w14:paraId="68625284" w14:textId="77777777" w:rsidR="00974556" w:rsidRDefault="002C3CFB">
      <w:pPr>
        <w:pStyle w:val="1"/>
        <w:shd w:val="clear" w:color="auto" w:fill="auto"/>
        <w:ind w:firstLine="740"/>
        <w:jc w:val="both"/>
      </w:pPr>
      <w:r>
        <w:t>справка или другой документ, который подтверждает открытие счета, название и номер расчетно-кассового центра Центрального Республиканского Банка Донецкой Народной Республики;</w:t>
      </w:r>
    </w:p>
    <w:p w14:paraId="1F0475FC" w14:textId="77777777" w:rsidR="00974556" w:rsidRDefault="002C3CFB">
      <w:pPr>
        <w:pStyle w:val="1"/>
        <w:shd w:val="clear" w:color="auto" w:fill="auto"/>
        <w:spacing w:after="300"/>
        <w:ind w:firstLine="740"/>
        <w:jc w:val="both"/>
      </w:pPr>
      <w:r>
        <w:t>копия паспорта или другого документа, удостоверяющего личность.</w:t>
      </w:r>
    </w:p>
    <w:p w14:paraId="092F0AD5" w14:textId="77777777" w:rsidR="00974556" w:rsidRDefault="002C3CFB">
      <w:pPr>
        <w:pStyle w:val="1"/>
        <w:numPr>
          <w:ilvl w:val="0"/>
          <w:numId w:val="15"/>
        </w:numPr>
        <w:shd w:val="clear" w:color="auto" w:fill="auto"/>
        <w:tabs>
          <w:tab w:val="left" w:pos="1414"/>
        </w:tabs>
        <w:ind w:firstLine="740"/>
        <w:jc w:val="both"/>
      </w:pPr>
      <w:r>
        <w:t>Для назначения пенсии по случаю потери кормильца подаются следующие документы:</w:t>
      </w:r>
    </w:p>
    <w:p w14:paraId="6CBF4F63" w14:textId="77777777" w:rsidR="00974556" w:rsidRDefault="002C3CFB">
      <w:pPr>
        <w:pStyle w:val="1"/>
        <w:shd w:val="clear" w:color="auto" w:fill="auto"/>
        <w:ind w:firstLine="740"/>
        <w:jc w:val="both"/>
      </w:pPr>
      <w:r>
        <w:t>заявление (</w:t>
      </w:r>
      <w:hyperlink r:id="rId10" w:history="1">
        <w:r>
          <w:t>Приложение 1)</w:t>
        </w:r>
      </w:hyperlink>
      <w:r>
        <w:t>;</w:t>
      </w:r>
    </w:p>
    <w:p w14:paraId="02558A25" w14:textId="77777777" w:rsidR="00974556" w:rsidRDefault="002C3CFB">
      <w:pPr>
        <w:pStyle w:val="1"/>
        <w:shd w:val="clear" w:color="auto" w:fill="auto"/>
        <w:ind w:firstLine="740"/>
        <w:jc w:val="both"/>
      </w:pPr>
      <w:r>
        <w:t>копия свидетельства о смерти кормильца;</w:t>
      </w:r>
    </w:p>
    <w:p w14:paraId="26A1669D" w14:textId="77777777" w:rsidR="00974556" w:rsidRDefault="002C3CFB">
      <w:pPr>
        <w:pStyle w:val="1"/>
        <w:shd w:val="clear" w:color="auto" w:fill="auto"/>
        <w:ind w:firstLine="740"/>
        <w:jc w:val="both"/>
      </w:pPr>
      <w:r>
        <w:t>выписка из приказа об исключении кормильца из списков личного состава в связи со смертью;</w:t>
      </w:r>
    </w:p>
    <w:p w14:paraId="18EA5F38" w14:textId="77777777" w:rsidR="00974556" w:rsidRDefault="002C3CFB">
      <w:pPr>
        <w:pStyle w:val="1"/>
        <w:shd w:val="clear" w:color="auto" w:fill="auto"/>
        <w:ind w:firstLine="740"/>
        <w:jc w:val="both"/>
      </w:pPr>
      <w:r>
        <w:t>заключение об обстоятельствах гибели или смерти вследствие ранения, контузии, увечья, полученных в период прохождения службы при исполнении служебных обязанностей (обязанностей военной службы);</w:t>
      </w:r>
    </w:p>
    <w:p w14:paraId="7253AB14" w14:textId="77777777" w:rsidR="00974556" w:rsidRDefault="002C3CFB">
      <w:pPr>
        <w:pStyle w:val="1"/>
        <w:shd w:val="clear" w:color="auto" w:fill="auto"/>
        <w:ind w:firstLine="740"/>
        <w:jc w:val="both"/>
      </w:pPr>
      <w:r>
        <w:t>справка уполномоченных органов с места жительства или решение суда о совместном проживании членов семьи и умершего (погибшего) кормильца (кроме нетрудоспособных детей, которые не достигли 18-летнего возраста или старше этого возраста, если они стали инвалидами до достижения 18 лет);</w:t>
      </w:r>
    </w:p>
    <w:p w14:paraId="0ED6FFE7" w14:textId="77777777" w:rsidR="00974556" w:rsidRDefault="002C3CFB">
      <w:pPr>
        <w:pStyle w:val="1"/>
        <w:shd w:val="clear" w:color="auto" w:fill="auto"/>
        <w:spacing w:after="300"/>
        <w:ind w:firstLine="740"/>
        <w:jc w:val="both"/>
      </w:pPr>
      <w:r>
        <w:t>документы, предусмотренные абзацами четвертым, восьмым- двенадцатым пункта 2.1 настоящего Порядка.</w:t>
      </w:r>
    </w:p>
    <w:p w14:paraId="6923E81A" w14:textId="77777777" w:rsidR="00974556" w:rsidRDefault="002C3CFB">
      <w:pPr>
        <w:pStyle w:val="1"/>
        <w:numPr>
          <w:ilvl w:val="0"/>
          <w:numId w:val="15"/>
        </w:numPr>
        <w:shd w:val="clear" w:color="auto" w:fill="auto"/>
        <w:tabs>
          <w:tab w:val="left" w:pos="1414"/>
        </w:tabs>
        <w:ind w:firstLine="740"/>
        <w:jc w:val="both"/>
      </w:pPr>
      <w:r>
        <w:t>Для назначения пенсии по случаю потери кормильца на детей дополнительно подаются следующие документы:</w:t>
      </w:r>
    </w:p>
    <w:p w14:paraId="218C2D93" w14:textId="77777777" w:rsidR="00974556" w:rsidRDefault="002C3CFB">
      <w:pPr>
        <w:pStyle w:val="1"/>
        <w:shd w:val="clear" w:color="auto" w:fill="auto"/>
        <w:ind w:firstLine="740"/>
        <w:jc w:val="both"/>
      </w:pPr>
      <w:r>
        <w:t>копия свидетельства о рождении;</w:t>
      </w:r>
    </w:p>
    <w:p w14:paraId="19BD2B1C" w14:textId="77777777" w:rsidR="00974556" w:rsidRDefault="002C3CFB">
      <w:pPr>
        <w:pStyle w:val="1"/>
        <w:shd w:val="clear" w:color="auto" w:fill="auto"/>
        <w:ind w:firstLine="740"/>
        <w:jc w:val="both"/>
      </w:pPr>
      <w:r>
        <w:t>справка из учебного заведения об обучении с указанием даты его окончания, а также о пребывании на полном государственном обеспечении;</w:t>
      </w:r>
    </w:p>
    <w:p w14:paraId="092B8853" w14:textId="77777777" w:rsidR="00974556" w:rsidRDefault="002C3CFB">
      <w:pPr>
        <w:pStyle w:val="1"/>
        <w:shd w:val="clear" w:color="auto" w:fill="auto"/>
        <w:ind w:firstLine="740"/>
        <w:jc w:val="both"/>
      </w:pPr>
      <w:r>
        <w:t>справка Медико-консультативной комиссии о признании ребенка инвалидом или справка МСЭК о признании лица инвалидом с детства;</w:t>
      </w:r>
    </w:p>
    <w:p w14:paraId="66197FA3" w14:textId="77777777" w:rsidR="00974556" w:rsidRDefault="002C3CFB">
      <w:pPr>
        <w:pStyle w:val="1"/>
        <w:shd w:val="clear" w:color="auto" w:fill="auto"/>
        <w:ind w:firstLine="740"/>
        <w:jc w:val="both"/>
      </w:pPr>
      <w:r>
        <w:t>копии свидетельств о смерти родителей или другие документы, которые подтверждают отсутствие родителей (в случае назначения пенсии братьям, сестрам, внукам);</w:t>
      </w:r>
    </w:p>
    <w:p w14:paraId="7B4285D9" w14:textId="77777777" w:rsidR="00974556" w:rsidRDefault="002C3CFB">
      <w:pPr>
        <w:pStyle w:val="1"/>
        <w:shd w:val="clear" w:color="auto" w:fill="auto"/>
        <w:ind w:firstLine="740"/>
        <w:jc w:val="both"/>
      </w:pPr>
      <w:r>
        <w:t>решение суда об усыновлении;</w:t>
      </w:r>
    </w:p>
    <w:p w14:paraId="4215DCC7" w14:textId="1FF98B60" w:rsidR="00974556" w:rsidRDefault="002C3CFB">
      <w:pPr>
        <w:pStyle w:val="1"/>
        <w:shd w:val="clear" w:color="auto" w:fill="auto"/>
        <w:ind w:firstLine="740"/>
        <w:jc w:val="both"/>
      </w:pPr>
      <w:r>
        <w:t>копия решения об опеке или попечительстве (в случае назначения пенсии детям, которые потеряли обоих родителей).</w:t>
      </w:r>
    </w:p>
    <w:p w14:paraId="4364AF0D" w14:textId="77777777" w:rsidR="00A804EE" w:rsidRDefault="00A804EE">
      <w:pPr>
        <w:pStyle w:val="1"/>
        <w:shd w:val="clear" w:color="auto" w:fill="auto"/>
        <w:ind w:firstLine="740"/>
        <w:jc w:val="both"/>
      </w:pPr>
    </w:p>
    <w:p w14:paraId="4DF8DF53" w14:textId="432BCDB6" w:rsidR="00A804EE" w:rsidRDefault="002C3CFB" w:rsidP="00A804EE">
      <w:pPr>
        <w:pStyle w:val="1"/>
        <w:numPr>
          <w:ilvl w:val="0"/>
          <w:numId w:val="15"/>
        </w:numPr>
        <w:shd w:val="clear" w:color="auto" w:fill="auto"/>
        <w:tabs>
          <w:tab w:val="left" w:pos="1417"/>
        </w:tabs>
        <w:ind w:firstLine="0"/>
        <w:jc w:val="right"/>
      </w:pPr>
      <w:r>
        <w:t xml:space="preserve">Для назначения пенсии по случаю потери кормильца родителям, жене </w:t>
      </w:r>
    </w:p>
    <w:p w14:paraId="5BC39D60" w14:textId="20D77CC7" w:rsidR="00974556" w:rsidRDefault="002C3CFB" w:rsidP="00A804EE">
      <w:pPr>
        <w:pStyle w:val="1"/>
        <w:shd w:val="clear" w:color="auto" w:fill="auto"/>
        <w:tabs>
          <w:tab w:val="left" w:pos="1417"/>
        </w:tabs>
        <w:ind w:firstLine="0"/>
        <w:jc w:val="both"/>
      </w:pPr>
      <w:r>
        <w:t>(мужу) и другим членам семьи дополнительно подаются следующие документы:</w:t>
      </w:r>
    </w:p>
    <w:p w14:paraId="7A7958F8" w14:textId="77777777" w:rsidR="00974556" w:rsidRDefault="002C3CFB">
      <w:pPr>
        <w:pStyle w:val="1"/>
        <w:shd w:val="clear" w:color="auto" w:fill="auto"/>
        <w:ind w:firstLine="740"/>
        <w:jc w:val="both"/>
      </w:pPr>
      <w:r>
        <w:t>копия свидетельства о браке;</w:t>
      </w:r>
    </w:p>
    <w:p w14:paraId="1C570DEB" w14:textId="77777777" w:rsidR="00974556" w:rsidRDefault="002C3CFB">
      <w:pPr>
        <w:pStyle w:val="1"/>
        <w:shd w:val="clear" w:color="auto" w:fill="auto"/>
        <w:ind w:firstLine="740"/>
        <w:jc w:val="both"/>
      </w:pPr>
      <w:r>
        <w:t>справка МСЭК о признании лица инвалидом;</w:t>
      </w:r>
    </w:p>
    <w:p w14:paraId="2A7BEFD0" w14:textId="77777777" w:rsidR="00923035" w:rsidRDefault="002C3CFB">
      <w:pPr>
        <w:pStyle w:val="1"/>
        <w:shd w:val="clear" w:color="auto" w:fill="auto"/>
        <w:ind w:firstLine="740"/>
        <w:jc w:val="both"/>
      </w:pPr>
      <w:r>
        <w:lastRenderedPageBreak/>
        <w:t>документы, которые подтверждают, что лицо не работает: трудовая книжка и справка из Единого государственного реестра юридических лиц и физических лиц-</w:t>
      </w:r>
    </w:p>
    <w:p w14:paraId="6BA23671" w14:textId="77777777" w:rsidR="00923035" w:rsidRDefault="00923035" w:rsidP="00923035">
      <w:pPr>
        <w:pStyle w:val="1"/>
        <w:shd w:val="clear" w:color="auto" w:fill="auto"/>
        <w:tabs>
          <w:tab w:val="left" w:pos="1417"/>
        </w:tabs>
        <w:ind w:firstLine="0"/>
        <w:jc w:val="right"/>
        <w:rPr>
          <w:sz w:val="22"/>
          <w:szCs w:val="22"/>
        </w:rPr>
      </w:pPr>
    </w:p>
    <w:p w14:paraId="752470E4" w14:textId="120BD976" w:rsidR="00923035" w:rsidRDefault="00923035" w:rsidP="00923035">
      <w:pPr>
        <w:pStyle w:val="1"/>
        <w:shd w:val="clear" w:color="auto" w:fill="auto"/>
        <w:tabs>
          <w:tab w:val="left" w:pos="1417"/>
        </w:tabs>
        <w:ind w:firstLine="0"/>
        <w:jc w:val="right"/>
        <w:rPr>
          <w:sz w:val="22"/>
          <w:szCs w:val="22"/>
        </w:rPr>
      </w:pPr>
      <w:r w:rsidRPr="00CF24C3">
        <w:rPr>
          <w:sz w:val="22"/>
          <w:szCs w:val="22"/>
        </w:rPr>
        <w:t>Продолжение приложения 2</w:t>
      </w:r>
    </w:p>
    <w:p w14:paraId="2D5D8751" w14:textId="77777777" w:rsidR="00923035" w:rsidRDefault="00923035" w:rsidP="00923035">
      <w:pPr>
        <w:pStyle w:val="1"/>
        <w:shd w:val="clear" w:color="auto" w:fill="auto"/>
        <w:ind w:firstLine="0"/>
        <w:jc w:val="both"/>
      </w:pPr>
    </w:p>
    <w:p w14:paraId="52BDB288" w14:textId="6FABD028" w:rsidR="00974556" w:rsidRDefault="002C3CFB" w:rsidP="00923035">
      <w:pPr>
        <w:pStyle w:val="1"/>
        <w:shd w:val="clear" w:color="auto" w:fill="auto"/>
        <w:ind w:firstLine="0"/>
        <w:jc w:val="both"/>
      </w:pPr>
      <w:r>
        <w:t>предпринимателей о том, что лицо не состоит на учете как физическое лицо-предприниматель. При отсутствии трудовой книжки - справка из Единого государственного реестра юридических лиц и физических лиц- предпринимателей о том, что лицо не состоит на учете как физическое лицо- предприниматель, и заявление лица с указанием причины отсутствия трудовой книжки;</w:t>
      </w:r>
    </w:p>
    <w:p w14:paraId="5276F428" w14:textId="77777777" w:rsidR="00974556" w:rsidRDefault="002C3CFB">
      <w:pPr>
        <w:pStyle w:val="1"/>
        <w:shd w:val="clear" w:color="auto" w:fill="auto"/>
        <w:ind w:firstLine="740"/>
        <w:jc w:val="both"/>
      </w:pPr>
      <w:r>
        <w:t>копии свидетельств о рождении умершего кормильца (его родителей) или решение суда об установлении родственных отношений (для назначения пенсии родителям, деду и бабушке);</w:t>
      </w:r>
    </w:p>
    <w:p w14:paraId="388179D3" w14:textId="77777777" w:rsidR="00974556" w:rsidRDefault="002C3CFB">
      <w:pPr>
        <w:pStyle w:val="1"/>
        <w:shd w:val="clear" w:color="auto" w:fill="auto"/>
        <w:spacing w:after="320"/>
        <w:ind w:firstLine="740"/>
        <w:jc w:val="both"/>
      </w:pPr>
      <w:r>
        <w:t>справка уполномоченного органа с места жительства или решение суда о пребывании умершего кормильца на содержании (для назначения пенсии отчиму или мачехе).</w:t>
      </w:r>
    </w:p>
    <w:p w14:paraId="5A2B5E94" w14:textId="77777777" w:rsidR="00974556" w:rsidRDefault="002C3CFB">
      <w:pPr>
        <w:pStyle w:val="1"/>
        <w:numPr>
          <w:ilvl w:val="0"/>
          <w:numId w:val="2"/>
        </w:numPr>
        <w:shd w:val="clear" w:color="auto" w:fill="auto"/>
        <w:tabs>
          <w:tab w:val="left" w:pos="706"/>
        </w:tabs>
        <w:spacing w:after="320"/>
        <w:ind w:firstLine="0"/>
        <w:jc w:val="center"/>
      </w:pPr>
      <w:r>
        <w:rPr>
          <w:b/>
          <w:bCs/>
        </w:rPr>
        <w:t>Подготовка и предоставление документов для назначения пенсии</w:t>
      </w:r>
    </w:p>
    <w:p w14:paraId="4CD8462E" w14:textId="77777777" w:rsidR="00974556" w:rsidRDefault="002C3CFB">
      <w:pPr>
        <w:pStyle w:val="1"/>
        <w:numPr>
          <w:ilvl w:val="0"/>
          <w:numId w:val="16"/>
        </w:numPr>
        <w:shd w:val="clear" w:color="auto" w:fill="auto"/>
        <w:tabs>
          <w:tab w:val="left" w:pos="1417"/>
        </w:tabs>
        <w:spacing w:after="320"/>
        <w:ind w:firstLine="740"/>
        <w:jc w:val="both"/>
      </w:pPr>
      <w:r>
        <w:t xml:space="preserve">Уполномоченное структурное подразделение оформляет все необходимые документы и свое представление о назначении пенсии </w:t>
      </w:r>
      <w:hyperlink r:id="rId11" w:history="1">
        <w:r>
          <w:t>(Приложение 2)</w:t>
        </w:r>
      </w:hyperlink>
      <w:r>
        <w:t xml:space="preserve">, </w:t>
      </w:r>
      <w:proofErr w:type="spellStart"/>
      <w:r>
        <w:t>ознакамливает</w:t>
      </w:r>
      <w:proofErr w:type="spellEnd"/>
      <w:r>
        <w:t xml:space="preserve"> с ним лицо, которому оформляется пенсия, и направляет в Пенсионный фонд в десятидневный срок со дня получения заявления о назначении пенсии.</w:t>
      </w:r>
    </w:p>
    <w:p w14:paraId="20093A90" w14:textId="77777777" w:rsidR="00974556" w:rsidRDefault="002C3CFB">
      <w:pPr>
        <w:pStyle w:val="1"/>
        <w:numPr>
          <w:ilvl w:val="0"/>
          <w:numId w:val="16"/>
        </w:numPr>
        <w:shd w:val="clear" w:color="auto" w:fill="auto"/>
        <w:tabs>
          <w:tab w:val="left" w:pos="1417"/>
        </w:tabs>
        <w:ind w:firstLine="740"/>
        <w:jc w:val="both"/>
      </w:pPr>
      <w:r>
        <w:t>Копии документов, необходимых для назначения пенсии, которые подаются уполномоченными структурными подразделениями в Пенсионный фонд, должны быть заверены этими уполномоченными структурными подразделениями в установленном порядке.</w:t>
      </w:r>
    </w:p>
    <w:p w14:paraId="1D1876B7" w14:textId="77777777" w:rsidR="00974556" w:rsidRDefault="002C3CFB">
      <w:pPr>
        <w:pStyle w:val="1"/>
        <w:shd w:val="clear" w:color="auto" w:fill="auto"/>
        <w:spacing w:after="320"/>
        <w:ind w:firstLine="740"/>
        <w:jc w:val="both"/>
      </w:pPr>
      <w:r>
        <w:t>Копии документов, необходимых для назначения пенсии, которые подаются непосредственно заявителями в Пенсионный фонд, заверяются Пенсионным фондом.</w:t>
      </w:r>
    </w:p>
    <w:p w14:paraId="4E8EFA22" w14:textId="77777777" w:rsidR="00974556" w:rsidRDefault="002C3CFB">
      <w:pPr>
        <w:pStyle w:val="1"/>
        <w:numPr>
          <w:ilvl w:val="0"/>
          <w:numId w:val="2"/>
        </w:numPr>
        <w:shd w:val="clear" w:color="auto" w:fill="auto"/>
        <w:tabs>
          <w:tab w:val="left" w:pos="706"/>
        </w:tabs>
        <w:spacing w:after="320"/>
        <w:ind w:firstLine="0"/>
        <w:jc w:val="both"/>
      </w:pPr>
      <w:r>
        <w:rPr>
          <w:b/>
          <w:bCs/>
        </w:rPr>
        <w:t>Прием, оформление и рассмотрение документов Пенсионным фондом</w:t>
      </w:r>
    </w:p>
    <w:p w14:paraId="5E1ED845" w14:textId="77777777" w:rsidR="00974556" w:rsidRDefault="002C3CFB">
      <w:pPr>
        <w:pStyle w:val="1"/>
        <w:numPr>
          <w:ilvl w:val="0"/>
          <w:numId w:val="17"/>
        </w:numPr>
        <w:shd w:val="clear" w:color="auto" w:fill="auto"/>
        <w:tabs>
          <w:tab w:val="left" w:pos="1417"/>
        </w:tabs>
        <w:ind w:firstLine="740"/>
        <w:jc w:val="both"/>
      </w:pPr>
      <w:r>
        <w:t>Пенсионный фонд рассматривает вопрос о назначении пенсии, а также о переводе с одного вида пенсии на другой при обращении лица с соответствующим заявлением (Приложение 1).</w:t>
      </w:r>
    </w:p>
    <w:p w14:paraId="605BBAD0" w14:textId="77777777" w:rsidR="00974556" w:rsidRDefault="002C3CFB" w:rsidP="00A804EE">
      <w:pPr>
        <w:pStyle w:val="1"/>
        <w:shd w:val="clear" w:color="auto" w:fill="auto"/>
        <w:ind w:firstLine="740"/>
        <w:jc w:val="both"/>
      </w:pPr>
      <w:r>
        <w:t>Заявления о переводе с одного вида пенсии на другой принимаются Пенсионным фондом при предоставлении заявителем всех необходимых документов.</w:t>
      </w:r>
    </w:p>
    <w:p w14:paraId="3A1A9F0B" w14:textId="7269026D" w:rsidR="00974556" w:rsidRDefault="002C3CFB" w:rsidP="00923035">
      <w:pPr>
        <w:pStyle w:val="1"/>
        <w:shd w:val="clear" w:color="auto" w:fill="auto"/>
        <w:spacing w:after="320"/>
        <w:ind w:firstLine="1280"/>
        <w:jc w:val="both"/>
      </w:pPr>
      <w:r>
        <w:t>Заявителю или должностному лицу уполномоченного структурного подразделения Пенсионным фондом выдается расписка-уведомление с указанием даты приема заявления, а также перечня полученных и отсутствующих документов, которые необходимо предоставить в трехмесячный срок со дня принятия заявления (Приложение 3).</w:t>
      </w:r>
    </w:p>
    <w:p w14:paraId="2A544EE6" w14:textId="77777777" w:rsidR="00974556" w:rsidRDefault="002C3CFB" w:rsidP="00A804EE">
      <w:pPr>
        <w:pStyle w:val="1"/>
        <w:numPr>
          <w:ilvl w:val="0"/>
          <w:numId w:val="17"/>
        </w:numPr>
        <w:shd w:val="clear" w:color="auto" w:fill="auto"/>
        <w:ind w:firstLine="720"/>
        <w:jc w:val="both"/>
      </w:pPr>
      <w:r>
        <w:t xml:space="preserve">Лицо, которое обращается за назначением пенсии (независимо от вида пенсии), должно предъявить уполномоченному лицу, которое принимает документы для назначения пенсии, паспорт (или другой документ, удостоверяющий эту личность, </w:t>
      </w:r>
      <w:r>
        <w:lastRenderedPageBreak/>
        <w:t>его возраст и место жительства (регистрации).</w:t>
      </w:r>
    </w:p>
    <w:p w14:paraId="280AA10C" w14:textId="77777777" w:rsidR="00923035" w:rsidRDefault="002C3CFB" w:rsidP="00A804EE">
      <w:pPr>
        <w:pStyle w:val="1"/>
        <w:shd w:val="clear" w:color="auto" w:fill="auto"/>
        <w:spacing w:after="320"/>
        <w:ind w:firstLine="720"/>
        <w:jc w:val="both"/>
      </w:pPr>
      <w:r>
        <w:t xml:space="preserve">Для несовершеннолетних детей, которые не имеют паспорта, документом, </w:t>
      </w:r>
    </w:p>
    <w:p w14:paraId="13FBEAC5" w14:textId="77777777" w:rsidR="00923035" w:rsidRDefault="00923035" w:rsidP="00923035">
      <w:pPr>
        <w:pStyle w:val="1"/>
        <w:shd w:val="clear" w:color="auto" w:fill="auto"/>
        <w:spacing w:after="320"/>
        <w:ind w:firstLine="0"/>
        <w:jc w:val="right"/>
      </w:pPr>
      <w:r w:rsidRPr="00CF24C3">
        <w:rPr>
          <w:sz w:val="22"/>
          <w:szCs w:val="22"/>
        </w:rPr>
        <w:t>Продолжение приложения 2</w:t>
      </w:r>
    </w:p>
    <w:p w14:paraId="7F63A897" w14:textId="3AD10EBE" w:rsidR="00974556" w:rsidRDefault="002C3CFB" w:rsidP="00923035">
      <w:pPr>
        <w:pStyle w:val="1"/>
        <w:shd w:val="clear" w:color="auto" w:fill="auto"/>
        <w:spacing w:after="320"/>
        <w:ind w:firstLine="0"/>
        <w:jc w:val="both"/>
      </w:pPr>
      <w:r>
        <w:t>который удостоверяет возраст, является свидетельство о рождении.</w:t>
      </w:r>
    </w:p>
    <w:p w14:paraId="2F6A2A94" w14:textId="08538609" w:rsidR="00974556" w:rsidRDefault="002C3CFB" w:rsidP="00A804EE">
      <w:pPr>
        <w:pStyle w:val="1"/>
        <w:numPr>
          <w:ilvl w:val="0"/>
          <w:numId w:val="17"/>
        </w:numPr>
        <w:shd w:val="clear" w:color="auto" w:fill="auto"/>
        <w:ind w:firstLine="709"/>
        <w:jc w:val="both"/>
      </w:pPr>
      <w:r>
        <w:t>При приеме документов для назначения пенсии Пенсионный фонд: проверяет правильность оформления заявления и представления о</w:t>
      </w:r>
      <w:r w:rsidR="00A804EE" w:rsidRPr="00A804EE">
        <w:t xml:space="preserve"> </w:t>
      </w:r>
      <w:r>
        <w:t>назначении пенсии, соответствие изложенных в них сведений о лице данным паспорта и других документов, которые прилагаются;</w:t>
      </w:r>
    </w:p>
    <w:p w14:paraId="16F02B90" w14:textId="77777777" w:rsidR="00974556" w:rsidRDefault="002C3CFB" w:rsidP="00A804EE">
      <w:pPr>
        <w:pStyle w:val="1"/>
        <w:shd w:val="clear" w:color="auto" w:fill="auto"/>
        <w:ind w:left="-142" w:firstLine="720"/>
        <w:jc w:val="both"/>
      </w:pPr>
      <w:r>
        <w:t>осуществляет предварительную проверку содержания и надлежащего оформления предоставленных документов;</w:t>
      </w:r>
    </w:p>
    <w:p w14:paraId="16C3E4D8" w14:textId="77777777" w:rsidR="00974556" w:rsidRDefault="002C3CFB" w:rsidP="00A804EE">
      <w:pPr>
        <w:pStyle w:val="1"/>
        <w:shd w:val="clear" w:color="auto" w:fill="auto"/>
        <w:spacing w:after="320"/>
        <w:ind w:firstLine="720"/>
        <w:jc w:val="both"/>
      </w:pPr>
      <w:r>
        <w:t>проверяет правильность копий соответствующих документов, фиксирует и удостоверяет выявленные расхождения.</w:t>
      </w:r>
    </w:p>
    <w:p w14:paraId="742EE86A" w14:textId="77777777" w:rsidR="00974556" w:rsidRDefault="002C3CFB" w:rsidP="00A804EE">
      <w:pPr>
        <w:pStyle w:val="1"/>
        <w:numPr>
          <w:ilvl w:val="0"/>
          <w:numId w:val="17"/>
        </w:numPr>
        <w:shd w:val="clear" w:color="auto" w:fill="auto"/>
        <w:spacing w:after="320"/>
        <w:ind w:firstLine="709"/>
        <w:jc w:val="both"/>
      </w:pPr>
      <w:r>
        <w:t>Не позднее десяти календарных дней после поступления заявления с необходимыми документами Пенсионный фонд рассматривает предоставленные документы и принимает решение относительно назначения пенсии, перевода с одного вида пенсии на другой, об отказе в назначении пенсии или о возобновлении ранее назначенной пенсии.</w:t>
      </w:r>
    </w:p>
    <w:p w14:paraId="46972251" w14:textId="77777777" w:rsidR="00974556" w:rsidRDefault="002C3CFB" w:rsidP="00923035">
      <w:pPr>
        <w:pStyle w:val="1"/>
        <w:numPr>
          <w:ilvl w:val="0"/>
          <w:numId w:val="17"/>
        </w:numPr>
        <w:shd w:val="clear" w:color="auto" w:fill="auto"/>
        <w:spacing w:after="320"/>
        <w:ind w:left="-142" w:firstLine="720"/>
        <w:jc w:val="both"/>
      </w:pPr>
      <w:r>
        <w:t>Решение относительно назначения пенсии, перевода с одного вида пенсии на другой оформляется протоколом Пенсионного фонда.</w:t>
      </w:r>
    </w:p>
    <w:p w14:paraId="22BD3084" w14:textId="77732BBE" w:rsidR="00974556" w:rsidRDefault="002C3CFB" w:rsidP="00923035">
      <w:pPr>
        <w:pStyle w:val="1"/>
        <w:numPr>
          <w:ilvl w:val="0"/>
          <w:numId w:val="17"/>
        </w:numPr>
        <w:shd w:val="clear" w:color="auto" w:fill="auto"/>
        <w:spacing w:before="66" w:after="66"/>
        <w:ind w:firstLine="567"/>
        <w:jc w:val="both"/>
      </w:pPr>
      <w:r>
        <w:t>Заявление о назначении пенсии со всеми предоставленными документами и решением о назначении пенсии хранятся в отдельном пенсионном деле на каждого пенсионера.</w:t>
      </w:r>
    </w:p>
    <w:sectPr w:rsidR="00974556" w:rsidSect="00923035">
      <w:headerReference w:type="default" r:id="rId12"/>
      <w:footerReference w:type="default" r:id="rId13"/>
      <w:headerReference w:type="first" r:id="rId14"/>
      <w:footerReference w:type="first" r:id="rId15"/>
      <w:pgSz w:w="11900" w:h="16840"/>
      <w:pgMar w:top="1003" w:right="477" w:bottom="828" w:left="105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6021" w14:textId="77777777" w:rsidR="00B951A8" w:rsidRDefault="00B951A8">
      <w:r>
        <w:separator/>
      </w:r>
    </w:p>
  </w:endnote>
  <w:endnote w:type="continuationSeparator" w:id="0">
    <w:p w14:paraId="72B70B8F" w14:textId="77777777" w:rsidR="00B951A8" w:rsidRDefault="00B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6F69" w14:textId="77777777" w:rsidR="002C3CFB" w:rsidRDefault="002C3CF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3C65" w14:textId="77777777" w:rsidR="002C3CFB" w:rsidRDefault="002C3CFB">
    <w:pPr>
      <w:spacing w:line="1" w:lineRule="exact"/>
    </w:pPr>
    <w:r>
      <w:rPr>
        <w:noProof/>
      </w:rPr>
      <mc:AlternateContent>
        <mc:Choice Requires="wps">
          <w:drawing>
            <wp:anchor distT="0" distB="0" distL="0" distR="0" simplePos="0" relativeHeight="62914704" behindDoc="1" locked="0" layoutInCell="1" allowOverlap="1" wp14:anchorId="09980624" wp14:editId="28305910">
              <wp:simplePos x="0" y="0"/>
              <wp:positionH relativeFrom="page">
                <wp:posOffset>4615815</wp:posOffset>
              </wp:positionH>
              <wp:positionV relativeFrom="page">
                <wp:posOffset>10230485</wp:posOffset>
              </wp:positionV>
              <wp:extent cx="2465705" cy="143510"/>
              <wp:effectExtent l="0" t="0" r="0" b="0"/>
              <wp:wrapNone/>
              <wp:docPr id="23" name="Shape 23"/>
              <wp:cNvGraphicFramePr/>
              <a:graphic xmlns:a="http://schemas.openxmlformats.org/drawingml/2006/main">
                <a:graphicData uri="http://schemas.microsoft.com/office/word/2010/wordprocessingShape">
                  <wps:wsp>
                    <wps:cNvSpPr txBox="1"/>
                    <wps:spPr>
                      <a:xfrm>
                        <a:off x="0" y="0"/>
                        <a:ext cx="2465705" cy="143510"/>
                      </a:xfrm>
                      <a:prstGeom prst="rect">
                        <a:avLst/>
                      </a:prstGeom>
                      <a:noFill/>
                    </wps:spPr>
                    <wps:txbx>
                      <w:txbxContent>
                        <w:p w14:paraId="7621A6A1" w14:textId="3E91569A" w:rsidR="002C3CFB" w:rsidRDefault="002C3CFB">
                          <w:pPr>
                            <w:pStyle w:val="22"/>
                            <w:shd w:val="clear" w:color="auto" w:fill="auto"/>
                            <w:tabs>
                              <w:tab w:val="right" w:pos="3883"/>
                            </w:tabs>
                            <w:rPr>
                              <w:sz w:val="19"/>
                              <w:szCs w:val="19"/>
                            </w:rPr>
                          </w:pPr>
                        </w:p>
                      </w:txbxContent>
                    </wps:txbx>
                    <wps:bodyPr lIns="0" tIns="0" rIns="0" bIns="0">
                      <a:spAutoFit/>
                    </wps:bodyPr>
                  </wps:wsp>
                </a:graphicData>
              </a:graphic>
            </wp:anchor>
          </w:drawing>
        </mc:Choice>
        <mc:Fallback>
          <w:pict>
            <v:shapetype w14:anchorId="09980624" id="_x0000_t202" coordsize="21600,21600" o:spt="202" path="m,l,21600r21600,l21600,xe">
              <v:stroke joinstyle="miter"/>
              <v:path gradientshapeok="t" o:connecttype="rect"/>
            </v:shapetype>
            <v:shape id="Shape 23" o:spid="_x0000_s1026" type="#_x0000_t202" style="position:absolute;margin-left:363.45pt;margin-top:805.55pt;width:194.15pt;height:11.3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" filled="f" stroked="f">
              <v:textbox style="mso-fit-shape-to-text:t" inset="0,0,0,0">
                <w:txbxContent>
                  <w:p w14:paraId="7621A6A1" w14:textId="3E91569A" w:rsidR="002C3CFB" w:rsidRDefault="002C3CFB">
                    <w:pPr>
                      <w:pStyle w:val="22"/>
                      <w:shd w:val="clear" w:color="auto" w:fill="auto"/>
                      <w:tabs>
                        <w:tab w:val="right" w:pos="3883"/>
                      </w:tabs>
                      <w:rPr>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8998" w14:textId="77777777" w:rsidR="00B951A8" w:rsidRDefault="00B951A8"/>
  </w:footnote>
  <w:footnote w:type="continuationSeparator" w:id="0">
    <w:p w14:paraId="276B81A3" w14:textId="77777777" w:rsidR="00B951A8" w:rsidRDefault="00B95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01E6" w14:textId="77777777" w:rsidR="00923035" w:rsidRPr="00923035" w:rsidRDefault="00923035">
    <w:pPr>
      <w:pStyle w:val="ac"/>
      <w:jc w:val="center"/>
      <w:rPr>
        <w:rFonts w:ascii="Times New Roman" w:hAnsi="Times New Roman" w:cs="Times New Roman"/>
      </w:rPr>
    </w:pPr>
  </w:p>
  <w:sdt>
    <w:sdtPr>
      <w:rPr>
        <w:rFonts w:ascii="Times New Roman" w:hAnsi="Times New Roman" w:cs="Times New Roman"/>
      </w:rPr>
      <w:id w:val="1771039491"/>
      <w:docPartObj>
        <w:docPartGallery w:val="Page Numbers (Top of Page)"/>
        <w:docPartUnique/>
      </w:docPartObj>
    </w:sdtPr>
    <w:sdtEndPr/>
    <w:sdtContent>
      <w:p w14:paraId="5563E487" w14:textId="1B734919" w:rsidR="00923035" w:rsidRPr="00923035" w:rsidRDefault="00923035">
        <w:pPr>
          <w:pStyle w:val="ac"/>
          <w:jc w:val="center"/>
          <w:rPr>
            <w:rFonts w:ascii="Times New Roman" w:hAnsi="Times New Roman" w:cs="Times New Roman"/>
          </w:rPr>
        </w:pPr>
        <w:r w:rsidRPr="00923035">
          <w:rPr>
            <w:rFonts w:ascii="Times New Roman" w:hAnsi="Times New Roman" w:cs="Times New Roman"/>
          </w:rPr>
          <w:fldChar w:fldCharType="begin"/>
        </w:r>
        <w:r w:rsidRPr="00923035">
          <w:rPr>
            <w:rFonts w:ascii="Times New Roman" w:hAnsi="Times New Roman" w:cs="Times New Roman"/>
          </w:rPr>
          <w:instrText>PAGE   \* MERGEFORMAT</w:instrText>
        </w:r>
        <w:r w:rsidRPr="00923035">
          <w:rPr>
            <w:rFonts w:ascii="Times New Roman" w:hAnsi="Times New Roman" w:cs="Times New Roman"/>
          </w:rPr>
          <w:fldChar w:fldCharType="separate"/>
        </w:r>
        <w:r w:rsidRPr="00923035">
          <w:rPr>
            <w:rFonts w:ascii="Times New Roman" w:hAnsi="Times New Roman" w:cs="Times New Roman"/>
          </w:rPr>
          <w:t>2</w:t>
        </w:r>
        <w:r w:rsidRPr="00923035">
          <w:rPr>
            <w:rFonts w:ascii="Times New Roman" w:hAnsi="Times New Roman" w:cs="Times New Roman"/>
          </w:rPr>
          <w:fldChar w:fldCharType="end"/>
        </w:r>
      </w:p>
    </w:sdtContent>
  </w:sdt>
  <w:p w14:paraId="17515C31" w14:textId="77777777" w:rsidR="002C3CFB" w:rsidRPr="00923035" w:rsidRDefault="002C3CFB">
    <w:pPr>
      <w:spacing w:line="1" w:lineRule="exac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4A4A" w14:textId="77777777" w:rsidR="002C3CFB" w:rsidRDefault="002C3CF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8D4"/>
    <w:multiLevelType w:val="multilevel"/>
    <w:tmpl w:val="939C2A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C222E"/>
    <w:multiLevelType w:val="multilevel"/>
    <w:tmpl w:val="FB40666E"/>
    <w:lvl w:ilvl="0">
      <w:start w:val="1"/>
      <w:numFmt w:val="decimal"/>
      <w:lvlText w:val="%1."/>
      <w:lvlJc w:val="left"/>
      <w:rPr>
        <w:rFonts w:ascii="Times New Roman" w:eastAsia="Times New Roman" w:hAnsi="Times New Roman" w:cs="Times New Roman"/>
        <w:b w:val="0"/>
        <w:bCs w:val="0"/>
        <w:i w:val="0"/>
        <w:iCs w:val="0"/>
        <w:smallCaps w:val="0"/>
        <w:strike w:val="0"/>
        <w:color w:val="343535"/>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33193"/>
    <w:multiLevelType w:val="multilevel"/>
    <w:tmpl w:val="4950FF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270DE"/>
    <w:multiLevelType w:val="multilevel"/>
    <w:tmpl w:val="8F38F2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258BB"/>
    <w:multiLevelType w:val="multilevel"/>
    <w:tmpl w:val="8E2833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A58FF"/>
    <w:multiLevelType w:val="multilevel"/>
    <w:tmpl w:val="EA7405A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12133"/>
    <w:multiLevelType w:val="multilevel"/>
    <w:tmpl w:val="C6E60F8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7C0B22"/>
    <w:multiLevelType w:val="multilevel"/>
    <w:tmpl w:val="A59E16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F7E63"/>
    <w:multiLevelType w:val="multilevel"/>
    <w:tmpl w:val="F86620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8A403E"/>
    <w:multiLevelType w:val="multilevel"/>
    <w:tmpl w:val="938AA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8119BC"/>
    <w:multiLevelType w:val="multilevel"/>
    <w:tmpl w:val="EC40DE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B44D8"/>
    <w:multiLevelType w:val="multilevel"/>
    <w:tmpl w:val="B3FC7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357AA"/>
    <w:multiLevelType w:val="multilevel"/>
    <w:tmpl w:val="945AAE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8D4529"/>
    <w:multiLevelType w:val="multilevel"/>
    <w:tmpl w:val="D636793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EC1CDF"/>
    <w:multiLevelType w:val="multilevel"/>
    <w:tmpl w:val="9B00EC2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B1918"/>
    <w:multiLevelType w:val="multilevel"/>
    <w:tmpl w:val="AB7E8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B0E2B"/>
    <w:multiLevelType w:val="multilevel"/>
    <w:tmpl w:val="873804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73F83"/>
    <w:multiLevelType w:val="multilevel"/>
    <w:tmpl w:val="6D06E3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4"/>
  </w:num>
  <w:num w:numId="5">
    <w:abstractNumId w:val="0"/>
  </w:num>
  <w:num w:numId="6">
    <w:abstractNumId w:val="14"/>
  </w:num>
  <w:num w:numId="7">
    <w:abstractNumId w:val="10"/>
  </w:num>
  <w:num w:numId="8">
    <w:abstractNumId w:val="5"/>
  </w:num>
  <w:num w:numId="9">
    <w:abstractNumId w:val="7"/>
  </w:num>
  <w:num w:numId="10">
    <w:abstractNumId w:val="6"/>
  </w:num>
  <w:num w:numId="11">
    <w:abstractNumId w:val="13"/>
  </w:num>
  <w:num w:numId="12">
    <w:abstractNumId w:val="8"/>
  </w:num>
  <w:num w:numId="13">
    <w:abstractNumId w:val="12"/>
  </w:num>
  <w:num w:numId="14">
    <w:abstractNumId w:val="11"/>
  </w:num>
  <w:num w:numId="15">
    <w:abstractNumId w:val="17"/>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56"/>
    <w:rsid w:val="0015522E"/>
    <w:rsid w:val="001C7927"/>
    <w:rsid w:val="00232771"/>
    <w:rsid w:val="002703AF"/>
    <w:rsid w:val="00274B2C"/>
    <w:rsid w:val="002C3CFB"/>
    <w:rsid w:val="002D5252"/>
    <w:rsid w:val="003F2CF9"/>
    <w:rsid w:val="00460953"/>
    <w:rsid w:val="0067715D"/>
    <w:rsid w:val="0068218C"/>
    <w:rsid w:val="00722201"/>
    <w:rsid w:val="00923035"/>
    <w:rsid w:val="00964425"/>
    <w:rsid w:val="00974556"/>
    <w:rsid w:val="00A179A4"/>
    <w:rsid w:val="00A804EE"/>
    <w:rsid w:val="00A81445"/>
    <w:rsid w:val="00AB525E"/>
    <w:rsid w:val="00B45C67"/>
    <w:rsid w:val="00B951A8"/>
    <w:rsid w:val="00BB049A"/>
    <w:rsid w:val="00CB4423"/>
    <w:rsid w:val="00CF24C3"/>
    <w:rsid w:val="00D975E6"/>
    <w:rsid w:val="00DC0D98"/>
    <w:rsid w:val="00E3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C103"/>
  <w15:docId w15:val="{8488CA44-A14F-4E01-A429-ED2009C1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color w:val="343535"/>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1B1B1B"/>
      <w:sz w:val="30"/>
      <w:szCs w:val="3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Номер заголовка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b w:val="0"/>
      <w:bCs w:val="0"/>
      <w:i w:val="0"/>
      <w:iCs w:val="0"/>
      <w:smallCaps w:val="0"/>
      <w:strike w:val="0"/>
      <w:sz w:val="14"/>
      <w:szCs w:val="14"/>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2" w:lineRule="auto"/>
    </w:pPr>
    <w:rPr>
      <w:rFonts w:ascii="Times New Roman" w:eastAsia="Times New Roman" w:hAnsi="Times New Roman" w:cs="Times New Roman"/>
      <w:sz w:val="22"/>
      <w:szCs w:val="2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b/>
      <w:bCs/>
      <w:color w:val="343535"/>
      <w:sz w:val="26"/>
      <w:szCs w:val="26"/>
    </w:rPr>
  </w:style>
  <w:style w:type="paragraph" w:customStyle="1" w:styleId="40">
    <w:name w:val="Основной текст (4)"/>
    <w:basedOn w:val="a"/>
    <w:link w:val="4"/>
    <w:pPr>
      <w:shd w:val="clear" w:color="auto" w:fill="FFFFFF"/>
      <w:spacing w:after="150"/>
      <w:jc w:val="center"/>
    </w:pPr>
    <w:rPr>
      <w:rFonts w:ascii="Times New Roman" w:eastAsia="Times New Roman" w:hAnsi="Times New Roman" w:cs="Times New Roman"/>
      <w:b/>
      <w:bCs/>
      <w:color w:val="1B1B1B"/>
      <w:sz w:val="30"/>
      <w:szCs w:val="3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Номер заголовка №2"/>
    <w:basedOn w:val="a"/>
    <w:link w:val="23"/>
    <w:pPr>
      <w:shd w:val="clear" w:color="auto" w:fill="FFFFFF"/>
      <w:spacing w:line="264" w:lineRule="auto"/>
      <w:ind w:left="5120"/>
      <w:outlineLvl w:val="1"/>
    </w:pPr>
    <w:rPr>
      <w:rFonts w:ascii="Times New Roman" w:eastAsia="Times New Roman" w:hAnsi="Times New Roman" w:cs="Times New Roman"/>
      <w:sz w:val="22"/>
      <w:szCs w:val="22"/>
    </w:rPr>
  </w:style>
  <w:style w:type="paragraph" w:customStyle="1" w:styleId="26">
    <w:name w:val="Заголовок №2"/>
    <w:basedOn w:val="a"/>
    <w:link w:val="25"/>
    <w:pPr>
      <w:shd w:val="clear" w:color="auto" w:fill="FFFFFF"/>
      <w:spacing w:line="264" w:lineRule="auto"/>
      <w:ind w:left="5120"/>
      <w:outlineLvl w:val="1"/>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Оглавление"/>
    <w:basedOn w:val="a"/>
    <w:link w:val="aa"/>
    <w:pPr>
      <w:shd w:val="clear" w:color="auto" w:fill="FFFFFF"/>
      <w:spacing w:after="100"/>
      <w:ind w:firstLine="3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jc w:val="center"/>
    </w:pPr>
    <w:rPr>
      <w:sz w:val="14"/>
      <w:szCs w:val="14"/>
    </w:rPr>
  </w:style>
  <w:style w:type="paragraph" w:styleId="ac">
    <w:name w:val="header"/>
    <w:basedOn w:val="a"/>
    <w:link w:val="ad"/>
    <w:uiPriority w:val="99"/>
    <w:unhideWhenUsed/>
    <w:rsid w:val="0068218C"/>
    <w:pPr>
      <w:tabs>
        <w:tab w:val="center" w:pos="4677"/>
        <w:tab w:val="right" w:pos="9355"/>
      </w:tabs>
    </w:pPr>
  </w:style>
  <w:style w:type="character" w:customStyle="1" w:styleId="ad">
    <w:name w:val="Верхний колонтитул Знак"/>
    <w:basedOn w:val="a0"/>
    <w:link w:val="ac"/>
    <w:uiPriority w:val="99"/>
    <w:rsid w:val="0068218C"/>
    <w:rPr>
      <w:color w:val="000000"/>
    </w:rPr>
  </w:style>
  <w:style w:type="paragraph" w:styleId="ae">
    <w:name w:val="footer"/>
    <w:basedOn w:val="a"/>
    <w:link w:val="af"/>
    <w:uiPriority w:val="99"/>
    <w:unhideWhenUsed/>
    <w:rsid w:val="0068218C"/>
    <w:pPr>
      <w:tabs>
        <w:tab w:val="center" w:pos="4677"/>
        <w:tab w:val="right" w:pos="9355"/>
      </w:tabs>
    </w:pPr>
  </w:style>
  <w:style w:type="character" w:customStyle="1" w:styleId="af">
    <w:name w:val="Нижний колонтитул Знак"/>
    <w:basedOn w:val="a0"/>
    <w:link w:val="ae"/>
    <w:uiPriority w:val="99"/>
    <w:rsid w:val="0068218C"/>
    <w:rPr>
      <w:color w:val="000000"/>
    </w:rPr>
  </w:style>
  <w:style w:type="character" w:customStyle="1" w:styleId="fontstyle01">
    <w:name w:val="fontstyle01"/>
    <w:basedOn w:val="a0"/>
    <w:rsid w:val="00D975E6"/>
    <w:rPr>
      <w:b w:val="0"/>
      <w:bCs w:val="0"/>
      <w:i w:val="0"/>
      <w:iCs w:val="0"/>
      <w:color w:val="000000"/>
      <w:sz w:val="28"/>
      <w:szCs w:val="28"/>
    </w:rPr>
  </w:style>
  <w:style w:type="paragraph" w:styleId="af0">
    <w:name w:val="No Spacing"/>
    <w:uiPriority w:val="1"/>
    <w:qFormat/>
    <w:rsid w:val="00B45C67"/>
    <w:rPr>
      <w:color w:val="000000"/>
    </w:rPr>
  </w:style>
  <w:style w:type="character" w:styleId="af1">
    <w:name w:val="Emphasis"/>
    <w:basedOn w:val="a0"/>
    <w:uiPriority w:val="20"/>
    <w:qFormat/>
    <w:rsid w:val="00AB5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snpa-dnr.ru/npa/0001-374-201912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spinform.ru/show_doc.fwx?rgn=164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spinform.ru/show_doc.fwx?rgn=16420" TargetMode="External"/><Relationship Id="rId4" Type="http://schemas.openxmlformats.org/officeDocument/2006/relationships/settings" Target="settings.xml"/><Relationship Id="rId9" Type="http://schemas.openxmlformats.org/officeDocument/2006/relationships/hyperlink" Target="http://base.spinform.ru/show_doc.fwx?rgn=164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B395-126B-4489-B57F-D0FC08D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специалист отд.гос. РНПА Сухинин О.С.</cp:lastModifiedBy>
  <cp:revision>24</cp:revision>
  <dcterms:created xsi:type="dcterms:W3CDTF">2020-03-18T08:42:00Z</dcterms:created>
  <dcterms:modified xsi:type="dcterms:W3CDTF">2020-07-02T12:41:00Z</dcterms:modified>
</cp:coreProperties>
</file>