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4C04" w14:textId="77777777" w:rsidR="00BA39A2" w:rsidRDefault="005C356F">
      <w:pPr>
        <w:pStyle w:val="1"/>
        <w:spacing w:after="0"/>
        <w:ind w:left="5380" w:firstLine="0"/>
      </w:pPr>
      <w:r>
        <w:t>Приложение 1</w:t>
      </w:r>
    </w:p>
    <w:p w14:paraId="6D752B76" w14:textId="77777777" w:rsidR="00BA39A2" w:rsidRDefault="005C356F">
      <w:pPr>
        <w:pStyle w:val="1"/>
        <w:ind w:left="5380" w:firstLine="0"/>
      </w:pPr>
      <w:r>
        <w:t>к Порядку установления надбавок за выслугу лет работникам государственных ветеринарных учреждений (пункт 3)</w:t>
      </w:r>
    </w:p>
    <w:p w14:paraId="4311515E" w14:textId="494E3904" w:rsidR="00BA39A2" w:rsidRPr="0079093E" w:rsidRDefault="005C356F">
      <w:pPr>
        <w:pStyle w:val="1"/>
        <w:spacing w:after="0"/>
        <w:ind w:left="5380" w:firstLine="0"/>
      </w:pPr>
      <w:r>
        <w:t>(в ред</w:t>
      </w:r>
      <w:r w:rsidR="0079093E" w:rsidRPr="0079093E">
        <w:t>.</w:t>
      </w:r>
    </w:p>
    <w:p w14:paraId="0A6B5499" w14:textId="08C6DB25" w:rsidR="00BA39A2" w:rsidRDefault="005C356F" w:rsidP="0079093E">
      <w:pPr>
        <w:pStyle w:val="1"/>
        <w:spacing w:after="780"/>
        <w:ind w:left="5380" w:firstLine="0"/>
      </w:pPr>
      <w:r>
        <w:t>Постановления Правительства Донецкой Народной Респ</w:t>
      </w:r>
      <w:r>
        <w:t xml:space="preserve">ублики </w:t>
      </w:r>
      <w:r w:rsidR="0079093E">
        <w:br/>
      </w:r>
      <w:bookmarkStart w:id="0" w:name="_GoBack"/>
      <w:bookmarkEnd w:id="0"/>
      <w:r w:rsidR="0079093E">
        <w:fldChar w:fldCharType="begin"/>
      </w:r>
      <w:r w:rsidR="0079093E">
        <w:instrText xml:space="preserve"> HYPERLINK "https://gisnpa-dnr.ru/npa/0030-34-1-20210527/" </w:instrText>
      </w:r>
      <w:r w:rsidR="0079093E">
        <w:fldChar w:fldCharType="separate"/>
      </w:r>
      <w:r w:rsidRPr="0079093E">
        <w:rPr>
          <w:rStyle w:val="a4"/>
        </w:rPr>
        <w:t>от 27 мая 2021 г. № 34-1</w:t>
      </w:r>
      <w:r w:rsidR="0079093E">
        <w:fldChar w:fldCharType="end"/>
      </w:r>
      <w:r>
        <w:t>)</w:t>
      </w:r>
    </w:p>
    <w:p w14:paraId="52993611" w14:textId="77777777" w:rsidR="00BA39A2" w:rsidRDefault="005C356F">
      <w:pPr>
        <w:pStyle w:val="1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должностей работников государственных ветеринарных учреждений,</w:t>
      </w:r>
      <w:r>
        <w:rPr>
          <w:b/>
          <w:bCs/>
        </w:rPr>
        <w:br/>
        <w:t>которые проводят лабораторно-диагностические исследования,</w:t>
      </w:r>
      <w:r>
        <w:rPr>
          <w:b/>
          <w:bCs/>
        </w:rPr>
        <w:br/>
        <w:t>ветеринарно-санитарную экспертизу на рынках, лечебно-</w:t>
      </w:r>
      <w:r>
        <w:rPr>
          <w:b/>
          <w:bCs/>
        </w:rPr>
        <w:br/>
        <w:t>профилактические и диагностические раб</w:t>
      </w:r>
      <w:r>
        <w:rPr>
          <w:b/>
          <w:bCs/>
        </w:rPr>
        <w:t>оты, противоэпизоотические</w:t>
      </w:r>
      <w:r>
        <w:rPr>
          <w:b/>
          <w:bCs/>
        </w:rPr>
        <w:br/>
        <w:t>мероприятия, осуществляют государственный ветеринарно-санитарный</w:t>
      </w:r>
      <w:r>
        <w:rPr>
          <w:b/>
          <w:bCs/>
        </w:rPr>
        <w:br/>
        <w:t>контроль и надзор на государственной границе и транспорте,</w:t>
      </w:r>
      <w:r>
        <w:rPr>
          <w:b/>
          <w:bCs/>
        </w:rPr>
        <w:br/>
        <w:t>государственный ветеринарно-санитарный контроль и надзор</w:t>
      </w:r>
      <w:r>
        <w:rPr>
          <w:b/>
          <w:bCs/>
        </w:rPr>
        <w:br/>
        <w:t>за деятельностью субъектов хозяйствования по заб</w:t>
      </w:r>
      <w:r>
        <w:rPr>
          <w:b/>
          <w:bCs/>
        </w:rPr>
        <w:t>ою животных,</w:t>
      </w:r>
      <w:r>
        <w:rPr>
          <w:b/>
          <w:bCs/>
        </w:rPr>
        <w:br/>
        <w:t>переработке, хранению, транспортировке и реализации подконтрольной</w:t>
      </w:r>
      <w:r>
        <w:rPr>
          <w:b/>
          <w:bCs/>
        </w:rPr>
        <w:br/>
        <w:t>государственной ветеринарной службе</w:t>
      </w:r>
    </w:p>
    <w:p w14:paraId="5ABC04C3" w14:textId="77777777" w:rsidR="00BA39A2" w:rsidRDefault="005C356F">
      <w:pPr>
        <w:pStyle w:val="1"/>
        <w:spacing w:after="200"/>
        <w:ind w:firstLine="700"/>
        <w:jc w:val="both"/>
      </w:pPr>
      <w:r>
        <w:t>Начальники (директора) и их заместители, главные ветеринарные врачи и их заместители: государственной ветеринарной больницы города (района);</w:t>
      </w:r>
      <w:r>
        <w:t xml:space="preserve"> станции по борьбе с болезнями животных; государственной лаборатории ветеринарной медицины (ветеринарной лаборатории); межрайонной государственной ветеринарной лаборатории; станции по борьбе с бешенством, пункта региональной службы ветеринарно-санитарного </w:t>
      </w:r>
      <w:r>
        <w:t>контроля и надзора на государственной границе и транспорте.</w:t>
      </w:r>
    </w:p>
    <w:p w14:paraId="7A0F9DD4" w14:textId="77777777" w:rsidR="00BA39A2" w:rsidRDefault="005C356F">
      <w:pPr>
        <w:pStyle w:val="1"/>
        <w:spacing w:after="200"/>
        <w:ind w:firstLine="700"/>
        <w:jc w:val="both"/>
      </w:pPr>
      <w:r>
        <w:t>Заведующие (начальники) отделами, секторами: государственной ветеринарной больницы города (района); станции по борьбе с болезнями животных; государственной лаборатории ветеринарной медицины (ветер</w:t>
      </w:r>
      <w:r>
        <w:t>инарной лаборатории); межрайонной государственной ветеринарной лаборатории; региональной службы ветеринарно-санитарного контроля и надзора на государственной границе и транспорте.</w:t>
      </w:r>
    </w:p>
    <w:p w14:paraId="4426CAEC" w14:textId="77777777" w:rsidR="00BA39A2" w:rsidRDefault="005C356F">
      <w:pPr>
        <w:pStyle w:val="1"/>
        <w:ind w:firstLine="700"/>
        <w:jc w:val="both"/>
      </w:pPr>
      <w:r>
        <w:t>Заведующие (начальники): отрядом по борьбе с лейкозом, туберкулезом, ветерин</w:t>
      </w:r>
      <w:r>
        <w:t>арным участком, пунктом; ветеринарной клиникой, лечебницей; государственной лаборатории ветеринарно-санитарной экспертизы на рынке, ветеринарной аптекой; главные специалисты ветеринарных учреждений и организаций.</w:t>
      </w:r>
    </w:p>
    <w:p w14:paraId="1F4391C8" w14:textId="77777777" w:rsidR="00BA39A2" w:rsidRDefault="005C356F">
      <w:pPr>
        <w:pStyle w:val="1"/>
        <w:spacing w:after="0"/>
        <w:ind w:firstLine="700"/>
      </w:pPr>
      <w:r>
        <w:lastRenderedPageBreak/>
        <w:t>Главные специалисты.</w:t>
      </w:r>
    </w:p>
    <w:p w14:paraId="7E3C7B85" w14:textId="77777777" w:rsidR="00BA39A2" w:rsidRDefault="005C356F">
      <w:pPr>
        <w:pStyle w:val="1"/>
        <w:spacing w:after="0"/>
        <w:ind w:firstLine="700"/>
      </w:pPr>
      <w:r>
        <w:t xml:space="preserve">Ведущие </w:t>
      </w:r>
      <w:r>
        <w:t>ветеринарные врачи.</w:t>
      </w:r>
    </w:p>
    <w:p w14:paraId="715BA3A9" w14:textId="77777777" w:rsidR="00BA39A2" w:rsidRDefault="005C356F">
      <w:pPr>
        <w:pStyle w:val="1"/>
        <w:spacing w:after="0"/>
        <w:ind w:firstLine="700"/>
      </w:pPr>
      <w:r>
        <w:t>Ветеринарные врачи I категории.</w:t>
      </w:r>
    </w:p>
    <w:p w14:paraId="63A27E75" w14:textId="77777777" w:rsidR="00BA39A2" w:rsidRDefault="005C356F">
      <w:pPr>
        <w:pStyle w:val="1"/>
        <w:spacing w:after="0"/>
        <w:ind w:firstLine="700"/>
      </w:pPr>
      <w:r>
        <w:t>Ветеринарные врачи II категории.</w:t>
      </w:r>
    </w:p>
    <w:p w14:paraId="6BDA3647" w14:textId="77777777" w:rsidR="00BA39A2" w:rsidRDefault="005C356F">
      <w:pPr>
        <w:pStyle w:val="1"/>
        <w:spacing w:after="0"/>
        <w:ind w:firstLine="700"/>
        <w:jc w:val="both"/>
      </w:pPr>
      <w:r>
        <w:t>Ветеринарные врачи.</w:t>
      </w:r>
    </w:p>
    <w:p w14:paraId="2D613196" w14:textId="77777777" w:rsidR="00BA39A2" w:rsidRDefault="005C356F">
      <w:pPr>
        <w:pStyle w:val="1"/>
        <w:spacing w:after="0"/>
        <w:ind w:firstLine="700"/>
      </w:pPr>
      <w:r>
        <w:t>Официальные (уполномоченные) ветеринарные врачи.</w:t>
      </w:r>
    </w:p>
    <w:p w14:paraId="04B821A3" w14:textId="77777777" w:rsidR="00BA39A2" w:rsidRDefault="005C356F">
      <w:pPr>
        <w:pStyle w:val="1"/>
        <w:spacing w:after="0"/>
        <w:ind w:firstLine="700"/>
      </w:pPr>
      <w:r>
        <w:t>Ветеринарные фельдшера, лаборанты I категории.</w:t>
      </w:r>
    </w:p>
    <w:p w14:paraId="26EF0B09" w14:textId="77777777" w:rsidR="00BA39A2" w:rsidRDefault="005C356F">
      <w:pPr>
        <w:pStyle w:val="1"/>
        <w:spacing w:after="0"/>
        <w:ind w:firstLine="700"/>
      </w:pPr>
      <w:r>
        <w:t xml:space="preserve">Ветеринарные фельдшера, лаборанты II </w:t>
      </w:r>
      <w:r>
        <w:t>категории.</w:t>
      </w:r>
    </w:p>
    <w:p w14:paraId="3B87212D" w14:textId="77777777" w:rsidR="00BA39A2" w:rsidRDefault="005C356F">
      <w:pPr>
        <w:pStyle w:val="1"/>
        <w:spacing w:after="0"/>
        <w:ind w:firstLine="700"/>
      </w:pPr>
      <w:r>
        <w:t>Ветеринарные фельдшера, лаборанты</w:t>
      </w:r>
    </w:p>
    <w:p w14:paraId="4A108B12" w14:textId="77777777" w:rsidR="00BA39A2" w:rsidRDefault="005C356F">
      <w:pPr>
        <w:pStyle w:val="1"/>
        <w:spacing w:after="0"/>
        <w:ind w:left="700" w:firstLine="0"/>
      </w:pPr>
      <w:r>
        <w:t>Младший ветеринарный персонал: санитар ветеринарный, дезинфектор Ведущие: инженер-радио физик, инженер-химик, инженер-радиохимик.</w:t>
      </w:r>
    </w:p>
    <w:sectPr w:rsidR="00BA39A2">
      <w:headerReference w:type="even" r:id="rId6"/>
      <w:headerReference w:type="default" r:id="rId7"/>
      <w:pgSz w:w="11900" w:h="16840"/>
      <w:pgMar w:top="1131" w:right="521" w:bottom="1309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A3119" w14:textId="77777777" w:rsidR="005C356F" w:rsidRDefault="005C356F">
      <w:r>
        <w:separator/>
      </w:r>
    </w:p>
  </w:endnote>
  <w:endnote w:type="continuationSeparator" w:id="0">
    <w:p w14:paraId="3CD7844A" w14:textId="77777777" w:rsidR="005C356F" w:rsidRDefault="005C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0B7EE" w14:textId="77777777" w:rsidR="005C356F" w:rsidRDefault="005C356F"/>
  </w:footnote>
  <w:footnote w:type="continuationSeparator" w:id="0">
    <w:p w14:paraId="48064837" w14:textId="77777777" w:rsidR="005C356F" w:rsidRDefault="005C3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42189" w14:textId="77777777" w:rsidR="00BA39A2" w:rsidRDefault="005C356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0BA3F5D" wp14:editId="741D92FF">
              <wp:simplePos x="0" y="0"/>
              <wp:positionH relativeFrom="page">
                <wp:posOffset>4112260</wp:posOffset>
              </wp:positionH>
              <wp:positionV relativeFrom="page">
                <wp:posOffset>494030</wp:posOffset>
              </wp:positionV>
              <wp:extent cx="54610" cy="8826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22E520" w14:textId="77777777" w:rsidR="00BA39A2" w:rsidRDefault="005C356F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A3F5D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23.8pt;margin-top:38.9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" filled="f" stroked="f">
              <v:textbox style="mso-fit-shape-to-text:t" inset="0,0,0,0">
                <w:txbxContent>
                  <w:p w14:paraId="6622E520" w14:textId="77777777" w:rsidR="00BA39A2" w:rsidRDefault="005C356F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86F5" w14:textId="77777777" w:rsidR="00BA39A2" w:rsidRDefault="00BA39A2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A2"/>
    <w:rsid w:val="005C356F"/>
    <w:rsid w:val="0079093E"/>
    <w:rsid w:val="00BA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8471"/>
  <w15:docId w15:val="{F60336D7-1EA5-46CB-A60A-3304EC8C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5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7909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2</cp:revision>
  <dcterms:created xsi:type="dcterms:W3CDTF">2021-06-02T12:08:00Z</dcterms:created>
  <dcterms:modified xsi:type="dcterms:W3CDTF">2021-06-02T12:10:00Z</dcterms:modified>
</cp:coreProperties>
</file>