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2994" w14:textId="77777777" w:rsidR="00DF58C2" w:rsidRDefault="00DF58C2" w:rsidP="00DF58C2">
      <w:pPr>
        <w:pStyle w:val="1"/>
        <w:spacing w:after="0"/>
        <w:ind w:left="9620"/>
      </w:pPr>
      <w:r>
        <w:rPr>
          <w:color w:val="000000"/>
        </w:rPr>
        <w:t>Приложение</w:t>
      </w:r>
    </w:p>
    <w:p w14:paraId="3618052F" w14:textId="77777777" w:rsidR="00DF58C2" w:rsidRDefault="00DF58C2" w:rsidP="00DF58C2">
      <w:pPr>
        <w:pStyle w:val="1"/>
        <w:spacing w:after="300"/>
        <w:ind w:left="9620"/>
      </w:pPr>
      <w:r>
        <w:rPr>
          <w:color w:val="000000"/>
        </w:rPr>
        <w:t>к Постановлению Правительства Донецкой Народной Республики от 18 декабря 2020 г. № 84-1</w:t>
      </w:r>
    </w:p>
    <w:p w14:paraId="512B4D95" w14:textId="6E8F055B" w:rsidR="00DF58C2" w:rsidRDefault="00DF58C2" w:rsidP="009B2815">
      <w:pPr>
        <w:pStyle w:val="1"/>
        <w:spacing w:after="0"/>
        <w:ind w:left="9620"/>
      </w:pPr>
      <w:r>
        <w:rPr>
          <w:color w:val="000000"/>
        </w:rPr>
        <w:t>(</w:t>
      </w:r>
      <w:r w:rsidRPr="009B2815">
        <w:rPr>
          <w:i/>
          <w:iCs/>
          <w:color w:val="A6A6A6" w:themeColor="background1" w:themeShade="A6"/>
        </w:rPr>
        <w:t>в редакции</w:t>
      </w:r>
      <w:r w:rsidR="009B2815" w:rsidRPr="009B2815">
        <w:rPr>
          <w:i/>
          <w:iCs/>
          <w:color w:val="A6A6A6" w:themeColor="background1" w:themeShade="A6"/>
        </w:rPr>
        <w:t xml:space="preserve"> </w:t>
      </w:r>
      <w:r w:rsidRPr="009B2815">
        <w:rPr>
          <w:i/>
          <w:iCs/>
          <w:color w:val="A6A6A6" w:themeColor="background1" w:themeShade="A6"/>
        </w:rPr>
        <w:t>Постановлени</w:t>
      </w:r>
      <w:r w:rsidR="00617DB7">
        <w:rPr>
          <w:i/>
          <w:iCs/>
          <w:color w:val="A6A6A6" w:themeColor="background1" w:themeShade="A6"/>
        </w:rPr>
        <w:t>й</w:t>
      </w:r>
      <w:r w:rsidR="009B2815" w:rsidRPr="009B2815">
        <w:rPr>
          <w:i/>
          <w:iCs/>
          <w:color w:val="A6A6A6" w:themeColor="background1" w:themeShade="A6"/>
        </w:rPr>
        <w:t xml:space="preserve"> </w:t>
      </w:r>
      <w:r w:rsidRPr="009B2815">
        <w:rPr>
          <w:i/>
          <w:iCs/>
          <w:color w:val="A6A6A6" w:themeColor="background1" w:themeShade="A6"/>
        </w:rPr>
        <w:t xml:space="preserve">Правительства Донецкой Народной Республики </w:t>
      </w:r>
      <w:hyperlink r:id="rId6" w:history="1">
        <w:r w:rsidRPr="009B2815">
          <w:rPr>
            <w:rStyle w:val="a6"/>
            <w:i/>
            <w:iCs/>
            <w:color w:val="03407D" w:themeColor="hyperlink" w:themeShade="A6"/>
          </w:rPr>
          <w:t>от 09</w:t>
        </w:r>
        <w:r w:rsidR="00617DB7">
          <w:rPr>
            <w:rStyle w:val="a6"/>
            <w:i/>
            <w:iCs/>
            <w:color w:val="03407D" w:themeColor="hyperlink" w:themeShade="A6"/>
          </w:rPr>
          <w:t>.02.</w:t>
        </w:r>
        <w:r w:rsidRPr="009B2815">
          <w:rPr>
            <w:rStyle w:val="a6"/>
            <w:i/>
            <w:iCs/>
            <w:color w:val="03407D" w:themeColor="hyperlink" w:themeShade="A6"/>
          </w:rPr>
          <w:t>2021 г. № 7-17</w:t>
        </w:r>
      </w:hyperlink>
      <w:r w:rsidR="00617DB7">
        <w:rPr>
          <w:color w:val="000000"/>
        </w:rPr>
        <w:t xml:space="preserve">, </w:t>
      </w:r>
      <w:hyperlink r:id="rId7" w:history="1">
        <w:r w:rsidR="00617DB7" w:rsidRPr="00617DB7">
          <w:rPr>
            <w:rStyle w:val="a6"/>
            <w:i/>
            <w:iCs/>
          </w:rPr>
          <w:t>от 21.05.2021 № 32-13</w:t>
        </w:r>
      </w:hyperlink>
      <w:r w:rsidR="00617DB7">
        <w:rPr>
          <w:color w:val="000000"/>
        </w:rPr>
        <w:t>)</w:t>
      </w:r>
    </w:p>
    <w:p w14:paraId="054C1F08" w14:textId="77777777" w:rsidR="00DF58C2" w:rsidRDefault="00DF58C2" w:rsidP="00DF58C2">
      <w:pPr>
        <w:pStyle w:val="1"/>
        <w:spacing w:after="30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юридических лиц, которым предоставляются субсидии из Республиканского бюджета Донецкой Народной</w:t>
      </w:r>
      <w:r>
        <w:rPr>
          <w:b/>
          <w:bCs/>
          <w:color w:val="000000"/>
        </w:rPr>
        <w:br/>
        <w:t>Республики в соответствии со статьей 41 Закона Донецкой Народной Республики</w:t>
      </w:r>
      <w:r>
        <w:rPr>
          <w:b/>
          <w:bCs/>
          <w:color w:val="000000"/>
        </w:rPr>
        <w:br/>
        <w:t>«Об основах бюджетного устройства и бюджетного процесса</w:t>
      </w:r>
      <w:r>
        <w:rPr>
          <w:b/>
          <w:bCs/>
          <w:color w:val="000000"/>
        </w:rPr>
        <w:br/>
        <w:t>в Донецкой Народной Республике»</w:t>
      </w:r>
    </w:p>
    <w:tbl>
      <w:tblPr>
        <w:tblOverlap w:val="never"/>
        <w:tblW w:w="145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6605"/>
        <w:gridCol w:w="1968"/>
        <w:gridCol w:w="1622"/>
      </w:tblGrid>
      <w:tr w:rsidR="00DF58C2" w14:paraId="7394BA33" w14:textId="77777777" w:rsidTr="00DC19E3">
        <w:trPr>
          <w:trHeight w:hRule="exact" w:val="7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F1779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Получатель субсидии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4652E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Нормативный правовой акт, на реализацию которого предоставляется субсидия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88F3" w14:textId="77777777" w:rsidR="00DF58C2" w:rsidRDefault="00DF58C2" w:rsidP="00DC19E3">
            <w:pPr>
              <w:pStyle w:val="a5"/>
              <w:jc w:val="center"/>
            </w:pPr>
            <w:r>
              <w:rPr>
                <w:color w:val="000000"/>
              </w:rPr>
              <w:t>Целевая программа</w:t>
            </w:r>
          </w:p>
        </w:tc>
      </w:tr>
      <w:tr w:rsidR="00DF58C2" w14:paraId="6B5FE257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344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 угольной промышленности 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9A06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Совета Министров Донецкой Народной Республики от 02.10.2018 № 8-1 «О мерах по выполнению социальных обязательств в виде обеспечения твердым топливом (углем) для бытовых нужд»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6AE0C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F58C2" w14:paraId="0328DA20" w14:textId="77777777" w:rsidTr="00DC19E3">
        <w:trPr>
          <w:trHeight w:hRule="exact" w:val="98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B17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Республиканское предприятие «Объединенная дирекция по реструктуризации предприятий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47E2E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Закон Донецкой Народной Республики от 12.06.2015 № 57-IHC «О государственном регулировании в сфере добычи (переработки) и использования угля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85AFC" w14:textId="77777777" w:rsidR="00DF58C2" w:rsidRDefault="00DF58C2" w:rsidP="00DC19E3">
            <w:pPr>
              <w:pStyle w:val="a5"/>
              <w:tabs>
                <w:tab w:val="left" w:pos="1656"/>
                <w:tab w:val="left" w:pos="2424"/>
              </w:tabs>
              <w:jc w:val="center"/>
            </w:pPr>
            <w:r>
              <w:rPr>
                <w:color w:val="000000"/>
              </w:rPr>
              <w:t>Расходы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области</w:t>
            </w:r>
          </w:p>
          <w:p w14:paraId="54274FA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реструктуризации угольной промышленности</w:t>
            </w:r>
          </w:p>
        </w:tc>
      </w:tr>
      <w:tr w:rsidR="00DF58C2" w14:paraId="215D35F8" w14:textId="77777777" w:rsidTr="00DC19E3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A02B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lastRenderedPageBreak/>
              <w:t>угольной</w:t>
            </w:r>
            <w:r>
              <w:rPr>
                <w:color w:val="000000"/>
              </w:rPr>
              <w:tab/>
              <w:t>промышленности</w:t>
            </w:r>
          </w:p>
          <w:p w14:paraId="50C1615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Донбасса» (ИКЮЛ 51000600)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680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(горючих сланцев), об особенностях социальной защиты работников горных предприятий» (статья 4, часть 2)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2AB94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</w:tr>
      <w:tr w:rsidR="00DF58C2" w14:paraId="2DB7E6CF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1F7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0172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26-11 «Об утверждении Мероприятий по перспективному развитию электроэнергетической отрасли Донецкой Народной Республики на 2020 год»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54E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электроэнергетики</w:t>
            </w:r>
          </w:p>
          <w:p w14:paraId="4F95A6F6" w14:textId="77777777" w:rsidR="00DF58C2" w:rsidRDefault="00DF58C2" w:rsidP="00DC19E3">
            <w:pPr>
              <w:pStyle w:val="a5"/>
              <w:tabs>
                <w:tab w:val="left" w:pos="2170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3B32FA4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ABE3348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607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унитарное предприятие Донецкой Народной Республики «ЭНЕРГИЯ ДОНБАССА» (ИКЮЛ 51008505)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000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89-9 «Об утверждении Мероприятий по перспективному развитию электроэнергетической отрасли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90E18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81EA1BC" w14:textId="77777777" w:rsidR="00DF58C2" w:rsidRDefault="00DF58C2" w:rsidP="00DC19E3">
            <w:pPr>
              <w:pStyle w:val="a5"/>
              <w:tabs>
                <w:tab w:val="left" w:pos="2184"/>
              </w:tabs>
              <w:jc w:val="both"/>
            </w:pPr>
            <w:r>
              <w:rPr>
                <w:color w:val="000000"/>
              </w:rPr>
              <w:t>перспективному развитию электроэнергетической отрасли</w:t>
            </w:r>
            <w:r>
              <w:rPr>
                <w:color w:val="000000"/>
              </w:rPr>
              <w:tab/>
              <w:t>Донецкой</w:t>
            </w:r>
          </w:p>
          <w:p w14:paraId="2A2F7C3F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Народной Республики</w:t>
            </w:r>
          </w:p>
        </w:tc>
      </w:tr>
      <w:tr w:rsidR="00DF58C2" w14:paraId="6E614A4F" w14:textId="77777777" w:rsidTr="00DC19E3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4C6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50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6ED46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DF94EC7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204FF28D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3618BEE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376C5831" w14:textId="77777777" w:rsidTr="00DC19E3">
        <w:trPr>
          <w:trHeight w:hRule="exact" w:val="16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CAC17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«ВОДА ДОНБАССА» (ИКЮЛ 51019831)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2BDB4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48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82CBD7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повышению эксплуатационных характеристик систем и</w:t>
            </w:r>
          </w:p>
        </w:tc>
      </w:tr>
      <w:tr w:rsidR="00DF58C2" w14:paraId="2499F289" w14:textId="77777777" w:rsidTr="00DC19E3">
        <w:trPr>
          <w:trHeight w:hRule="exact" w:val="130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15DC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6C6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1F81" w14:textId="77777777" w:rsidR="00DF58C2" w:rsidRDefault="00DF58C2" w:rsidP="00DC19E3">
            <w:pPr>
              <w:pStyle w:val="a5"/>
              <w:tabs>
                <w:tab w:val="left" w:pos="2069"/>
              </w:tabs>
              <w:jc w:val="both"/>
            </w:pPr>
            <w:r>
              <w:rPr>
                <w:color w:val="000000"/>
              </w:rPr>
              <w:t>объектов</w:t>
            </w:r>
            <w:r>
              <w:rPr>
                <w:color w:val="000000"/>
              </w:rPr>
              <w:tab/>
              <w:t>жилищно-</w:t>
            </w:r>
          </w:p>
          <w:p w14:paraId="2EAF7646" w14:textId="77777777" w:rsidR="00DF58C2" w:rsidRDefault="00DF58C2" w:rsidP="00DC19E3">
            <w:pPr>
              <w:pStyle w:val="a5"/>
              <w:tabs>
                <w:tab w:val="left" w:pos="207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1C59302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6E677290" w14:textId="77777777" w:rsidTr="00DC19E3">
        <w:trPr>
          <w:trHeight w:hRule="exact" w:val="29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307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2E029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E59F1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DCD2C3F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327417B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407E84B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D6FD12B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FF1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Государственный концерн «ДОНБАССГАЗ» (ИКЮЛ 51002388)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DEA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8058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4A83FB2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45A03FB1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2FB853B3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34E135D" w14:textId="77777777" w:rsidTr="00DC19E3">
        <w:trPr>
          <w:trHeight w:hRule="exact" w:val="227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41F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C7E81E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05.06.2020 № 26-13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2020 году»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087A3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23004FA9" w14:textId="77777777" w:rsidR="00DF58C2" w:rsidRDefault="00DF58C2" w:rsidP="00DC19E3">
            <w:pPr>
              <w:pStyle w:val="a5"/>
              <w:tabs>
                <w:tab w:val="left" w:pos="2126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5DFCB8E5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коммунального хозяйства</w:t>
            </w:r>
          </w:p>
        </w:tc>
      </w:tr>
      <w:tr w:rsidR="00DF58C2" w14:paraId="35539D04" w14:textId="77777777" w:rsidTr="00DC19E3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BF6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0025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5D6F6" w14:textId="77777777" w:rsidR="00DF58C2" w:rsidRDefault="00DF58C2" w:rsidP="00DC19E3">
            <w:pPr>
              <w:pStyle w:val="a5"/>
              <w:tabs>
                <w:tab w:val="left" w:pos="2170"/>
              </w:tabs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403466A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5F40E21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75B2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«ДОНБАССТЕПЛОЭНЕРГО» (ИКЮЛ 51017331)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264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D1C62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1586AF39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6AFCEC74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4081AAD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71AF7785" w14:textId="77777777" w:rsidTr="00DC19E3">
        <w:trPr>
          <w:trHeight w:hRule="exact" w:val="290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ED31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«ДОНБАССТРАНСГАЗ» (ИКЮЛ 51015135)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0D2B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E3DE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38A78CCC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0ED13D16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0C2139B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88C57F2" w14:textId="77777777" w:rsidTr="00DC19E3">
        <w:trPr>
          <w:trHeight w:hRule="exact" w:val="291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90DF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«ДОНСНАБКОМПЛЕКТ» (ИКЮЛ 51010273)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8D4A7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89-4 «О реализации мероприятий по повышению эксплуатационных характеристик систем и объектов жилищно- коммунального хозяйства Донецкой Народной Республики в 2021 году»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FF7B" w14:textId="77777777" w:rsidR="00DF58C2" w:rsidRDefault="00DF58C2" w:rsidP="00DC19E3">
            <w:pPr>
              <w:pStyle w:val="a5"/>
              <w:tabs>
                <w:tab w:val="left" w:pos="3072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657FF26A" w14:textId="77777777" w:rsidR="00DF58C2" w:rsidRDefault="00DF58C2" w:rsidP="00DC19E3">
            <w:pPr>
              <w:pStyle w:val="a5"/>
              <w:tabs>
                <w:tab w:val="left" w:pos="2069"/>
              </w:tabs>
            </w:pPr>
            <w:r>
              <w:rPr>
                <w:color w:val="000000"/>
              </w:rPr>
              <w:t>повышению эксплуатационных характеристик систем и объектов</w:t>
            </w:r>
            <w:r>
              <w:rPr>
                <w:color w:val="000000"/>
              </w:rPr>
              <w:tab/>
              <w:t>жилищно-</w:t>
            </w:r>
          </w:p>
          <w:p w14:paraId="7883B973" w14:textId="77777777" w:rsidR="00DF58C2" w:rsidRDefault="00DF58C2" w:rsidP="00DC19E3">
            <w:pPr>
              <w:pStyle w:val="a5"/>
              <w:tabs>
                <w:tab w:val="left" w:pos="2064"/>
              </w:tabs>
              <w:jc w:val="both"/>
            </w:pPr>
            <w:r>
              <w:rPr>
                <w:color w:val="000000"/>
              </w:rPr>
              <w:t>коммунального хозяйства Донецкой</w:t>
            </w:r>
            <w:r>
              <w:rPr>
                <w:color w:val="000000"/>
              </w:rPr>
              <w:tab/>
              <w:t>Народной</w:t>
            </w:r>
          </w:p>
          <w:p w14:paraId="706E750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4F54A45E" w14:textId="77777777" w:rsidTr="00617DB7">
        <w:trPr>
          <w:trHeight w:hRule="exact" w:val="32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6C6F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CBD36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653B0A2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C25E5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5E36A35F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712663E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68D38070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14F33BB5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52463B43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B5C4F2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4C7858BD" w14:textId="77777777" w:rsidTr="00DC19E3">
        <w:trPr>
          <w:trHeight w:hRule="exact" w:val="194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27BE4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Трансграничный концерн «ЖЕЛЕЗНЫЕ ДОРОГИ ДОНБАССА» (ИКЮЛ 51020281)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E08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 дорожного хозяйства Донецкой Народной Республики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E4B7A" w14:textId="77777777" w:rsidR="00DF58C2" w:rsidRDefault="00DF58C2" w:rsidP="00DC19E3">
            <w:pPr>
              <w:pStyle w:val="a5"/>
              <w:tabs>
                <w:tab w:val="left" w:pos="2112"/>
              </w:tabs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 дорожного</w:t>
            </w:r>
            <w:r>
              <w:rPr>
                <w:color w:val="000000"/>
              </w:rPr>
              <w:tab/>
              <w:t>хозяйства</w:t>
            </w:r>
          </w:p>
          <w:p w14:paraId="00A26163" w14:textId="77777777" w:rsidR="00DF58C2" w:rsidRDefault="00DF58C2" w:rsidP="00DC19E3">
            <w:pPr>
              <w:pStyle w:val="a5"/>
              <w:tabs>
                <w:tab w:val="left" w:pos="2107"/>
              </w:tabs>
              <w:jc w:val="both"/>
            </w:pPr>
            <w:r>
              <w:rPr>
                <w:color w:val="000000"/>
              </w:rPr>
              <w:t>Донецкой</w:t>
            </w:r>
            <w:r>
              <w:rPr>
                <w:color w:val="000000"/>
              </w:rPr>
              <w:tab/>
              <w:t>Народной</w:t>
            </w:r>
          </w:p>
          <w:p w14:paraId="707ED32D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Республики</w:t>
            </w:r>
          </w:p>
        </w:tc>
      </w:tr>
      <w:tr w:rsidR="00DF58C2" w14:paraId="504BF1A0" w14:textId="77777777" w:rsidTr="00DC19E3">
        <w:trPr>
          <w:trHeight w:hRule="exact" w:val="32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258C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lastRenderedPageBreak/>
              <w:t>Государственное предприятие «ДОНЕЦКАЯ ЖЕЛЕЗНАЯ ДОРОГА» (ИКЮЛ 51007576)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525D" w14:textId="77777777" w:rsidR="00DF58C2" w:rsidRDefault="00DF58C2" w:rsidP="00DC19E3">
            <w:pPr>
              <w:pStyle w:val="a5"/>
              <w:tabs>
                <w:tab w:val="left" w:pos="2626"/>
                <w:tab w:val="left" w:pos="3408"/>
                <w:tab w:val="left" w:pos="5501"/>
              </w:tabs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14.08.2020 № 41-11 «О реализации мероприятий по восстановлению и модернизации инфраструктуры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подвижного</w:t>
            </w:r>
            <w:r>
              <w:rPr>
                <w:color w:val="000000"/>
              </w:rPr>
              <w:tab/>
              <w:t>состава</w:t>
            </w:r>
          </w:p>
          <w:p w14:paraId="55767FD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Государственного предприятия «Донецкая железная дорога» (с изменениями и дополнениями)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354F0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ab/>
              <w:t>по</w:t>
            </w:r>
          </w:p>
          <w:p w14:paraId="06AE625E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ab/>
              <w:t>сети</w:t>
            </w:r>
          </w:p>
          <w:p w14:paraId="6B006831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автомобильных</w:t>
            </w:r>
            <w:r>
              <w:rPr>
                <w:color w:val="000000"/>
              </w:rPr>
              <w:tab/>
              <w:t>дорог</w:t>
            </w:r>
          </w:p>
          <w:p w14:paraId="09AA1AE9" w14:textId="77777777" w:rsidR="00DF58C2" w:rsidRDefault="00DF58C2" w:rsidP="00DC19E3">
            <w:pPr>
              <w:pStyle w:val="a5"/>
              <w:tabs>
                <w:tab w:val="right" w:pos="3341"/>
              </w:tabs>
              <w:jc w:val="both"/>
            </w:pPr>
            <w:r>
              <w:rPr>
                <w:color w:val="000000"/>
              </w:rPr>
              <w:t>общего</w:t>
            </w:r>
            <w:r>
              <w:rPr>
                <w:color w:val="000000"/>
              </w:rPr>
              <w:tab/>
              <w:t>пользования,</w:t>
            </w:r>
          </w:p>
          <w:p w14:paraId="5DD720E7" w14:textId="77777777" w:rsidR="00DF58C2" w:rsidRDefault="00DF58C2" w:rsidP="00DC19E3">
            <w:pPr>
              <w:pStyle w:val="a5"/>
              <w:tabs>
                <w:tab w:val="right" w:pos="3350"/>
              </w:tabs>
              <w:jc w:val="both"/>
            </w:pPr>
            <w:r>
              <w:rPr>
                <w:color w:val="000000"/>
              </w:rPr>
              <w:t>искусственных сооружений и</w:t>
            </w:r>
            <w:r>
              <w:rPr>
                <w:color w:val="000000"/>
              </w:rPr>
              <w:tab/>
              <w:t>обновлению</w:t>
            </w:r>
          </w:p>
          <w:p w14:paraId="211629F7" w14:textId="77777777" w:rsidR="00DF58C2" w:rsidRDefault="00DF58C2" w:rsidP="00DC19E3">
            <w:pPr>
              <w:pStyle w:val="a5"/>
              <w:tabs>
                <w:tab w:val="right" w:pos="3355"/>
              </w:tabs>
              <w:jc w:val="both"/>
            </w:pPr>
            <w:r>
              <w:rPr>
                <w:color w:val="000000"/>
              </w:rPr>
              <w:t>железнодорожного транспорта</w:t>
            </w:r>
            <w:r>
              <w:rPr>
                <w:color w:val="000000"/>
              </w:rPr>
              <w:tab/>
              <w:t>и</w:t>
            </w:r>
          </w:p>
          <w:p w14:paraId="6A54BFB8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инфраструктуры</w:t>
            </w:r>
          </w:p>
        </w:tc>
      </w:tr>
      <w:tr w:rsidR="00DF58C2" w14:paraId="1EC55FBA" w14:textId="77777777" w:rsidTr="00DC19E3">
        <w:trPr>
          <w:trHeight w:hRule="exact" w:val="98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163AA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«АВТОДОР» (ИКЮЛ 51008568)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930B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89-8 «Об утверждении Мероприятий по развитию транспортной отрасли 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FEDDF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Расходы на реализацию мероприятий по развитию транспортной отрасли и</w:t>
            </w:r>
          </w:p>
        </w:tc>
      </w:tr>
      <w:tr w:rsidR="00DF58C2" w14:paraId="739F095D" w14:textId="77777777" w:rsidTr="00DC19E3">
        <w:trPr>
          <w:trHeight w:hRule="exact"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22A3" w14:textId="77777777" w:rsidR="00DF58C2" w:rsidRDefault="00DF58C2" w:rsidP="00DC19E3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864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хозяйства Донецкой Народной</w:t>
            </w:r>
          </w:p>
          <w:p w14:paraId="067C35EE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Республики на 2021 год»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DABE6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дорожного Донецкой Республики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28787D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хозяйства</w:t>
            </w:r>
          </w:p>
          <w:p w14:paraId="08A31666" w14:textId="77777777" w:rsidR="00DF58C2" w:rsidRDefault="00DF58C2" w:rsidP="00DC19E3">
            <w:pPr>
              <w:pStyle w:val="a5"/>
              <w:jc w:val="right"/>
            </w:pPr>
            <w:r>
              <w:rPr>
                <w:color w:val="000000"/>
              </w:rPr>
              <w:t>Народной</w:t>
            </w:r>
          </w:p>
        </w:tc>
      </w:tr>
      <w:tr w:rsidR="00DF58C2" w14:paraId="493E27EF" w14:textId="77777777" w:rsidTr="00DC19E3">
        <w:trPr>
          <w:trHeight w:hRule="exact" w:val="25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736F9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Государственное предприятие «РАДИОТЕЛЕВИЗИОННЫЙ ПЕРЕДАЮЩИЙ ЦЕНТР» (ИКЮЛ 51018885)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4CC31" w14:textId="77777777" w:rsidR="00DF58C2" w:rsidRDefault="00DF58C2" w:rsidP="00DC19E3">
            <w:pPr>
              <w:pStyle w:val="a5"/>
              <w:jc w:val="both"/>
            </w:pPr>
            <w:r>
              <w:rPr>
                <w:color w:val="000000"/>
              </w:rPr>
              <w:t>Постановление Правительства Донецкой Народной Республики от 30.12.2020 № 89-6 «Об утверждении Мероприятий, направленных на развитие сферы теле- и радиовещания с целью обеспечения населения качественными услугами теле- и радиовещания на 2021 год»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A568E" w14:textId="77777777" w:rsidR="00DF58C2" w:rsidRDefault="00DF58C2" w:rsidP="00DC19E3">
            <w:pPr>
              <w:pStyle w:val="a5"/>
              <w:tabs>
                <w:tab w:val="left" w:pos="1680"/>
                <w:tab w:val="right" w:pos="3355"/>
              </w:tabs>
              <w:jc w:val="both"/>
            </w:pPr>
            <w:r>
              <w:rPr>
                <w:color w:val="000000"/>
              </w:rPr>
              <w:t>Расходы на реализацию мероприятий, направленных на развитие сферы</w:t>
            </w:r>
            <w:r>
              <w:rPr>
                <w:color w:val="000000"/>
              </w:rPr>
              <w:tab/>
              <w:t>теле-</w:t>
            </w:r>
            <w:r>
              <w:rPr>
                <w:color w:val="000000"/>
              </w:rPr>
              <w:tab/>
              <w:t>и</w:t>
            </w:r>
          </w:p>
          <w:p w14:paraId="62B76EDC" w14:textId="77777777" w:rsidR="00DF58C2" w:rsidRDefault="00DF58C2" w:rsidP="00DC19E3">
            <w:pPr>
              <w:pStyle w:val="a5"/>
              <w:tabs>
                <w:tab w:val="right" w:pos="3355"/>
              </w:tabs>
            </w:pPr>
            <w:r>
              <w:rPr>
                <w:color w:val="000000"/>
              </w:rPr>
              <w:t>радиовещания с целью обеспечения</w:t>
            </w:r>
            <w:r>
              <w:rPr>
                <w:color w:val="000000"/>
              </w:rPr>
              <w:tab/>
              <w:t>населения</w:t>
            </w:r>
          </w:p>
          <w:p w14:paraId="3224CFA1" w14:textId="77777777" w:rsidR="00DF58C2" w:rsidRDefault="00DF58C2" w:rsidP="00DC19E3">
            <w:pPr>
              <w:pStyle w:val="a5"/>
            </w:pPr>
            <w:r>
              <w:rPr>
                <w:color w:val="000000"/>
              </w:rPr>
              <w:t>качественными услугами теле- и радиовещания</w:t>
            </w:r>
          </w:p>
        </w:tc>
      </w:tr>
      <w:tr w:rsidR="00617DB7" w14:paraId="689E6BE0" w14:textId="77777777" w:rsidTr="00DC19E3">
        <w:trPr>
          <w:trHeight w:hRule="exact" w:val="25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3BC4E" w14:textId="3E3CA111" w:rsidR="00617DB7" w:rsidRDefault="00617DB7" w:rsidP="00617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lastRenderedPageBreak/>
              <w:t>ГОСУДАРСТВЕННОЕ УНИТАРНОЕ ПРЕДПРИЯТИЕ ДОНЕЦКОЙ НАРОДНОЙ РЕСПУБЛИКИ</w:t>
            </w: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«РЕСПУБЛИКАНСКАЯ ЛИЗИНГОВАЯ КОМПАНИЯ»(ИКЮЛ 51020433)</w:t>
            </w:r>
          </w:p>
          <w:p w14:paraId="560F1B61" w14:textId="21AC80BE" w:rsidR="00617DB7" w:rsidRPr="00617DB7" w:rsidRDefault="00617DB7" w:rsidP="00617DB7">
            <w:pPr>
              <w:rPr>
                <w:lang w:eastAsia="en-US" w:bidi="ar-SA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A354D" w14:textId="5CC8DB3E" w:rsidR="00617DB7" w:rsidRDefault="00617DB7" w:rsidP="00DC19E3">
            <w:pPr>
              <w:pStyle w:val="a5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Закон Донецкой Народной Республики от 24 апреля 2020 года № 133-IIНС «О финансовой аренде (лизинге)»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B9560" w14:textId="448C9C01" w:rsidR="00617DB7" w:rsidRDefault="00617DB7" w:rsidP="00DC19E3">
            <w:pPr>
              <w:pStyle w:val="a5"/>
              <w:tabs>
                <w:tab w:val="left" w:pos="1680"/>
                <w:tab w:val="right" w:pos="3355"/>
              </w:tabs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Рас</w:t>
            </w:r>
            <w:bookmarkStart w:id="0" w:name="_GoBack"/>
            <w:bookmarkEnd w:id="0"/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ходы на осуществление лизинговой деятельности</w:t>
            </w:r>
          </w:p>
        </w:tc>
      </w:tr>
    </w:tbl>
    <w:p w14:paraId="708ECA7F" w14:textId="77777777" w:rsidR="00DF58C2" w:rsidRDefault="00DF58C2" w:rsidP="00DF58C2"/>
    <w:p w14:paraId="0FEB804B" w14:textId="77777777" w:rsidR="00A45DD5" w:rsidRDefault="00A45DD5"/>
    <w:sectPr w:rsidR="00A45DD5">
      <w:headerReference w:type="default" r:id="rId8"/>
      <w:pgSz w:w="16840" w:h="11900" w:orient="landscape"/>
      <w:pgMar w:top="1694" w:right="975" w:bottom="802" w:left="1268" w:header="0" w:footer="37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7B0F" w14:textId="77777777" w:rsidR="00716D5E" w:rsidRDefault="00716D5E">
      <w:r>
        <w:separator/>
      </w:r>
    </w:p>
  </w:endnote>
  <w:endnote w:type="continuationSeparator" w:id="0">
    <w:p w14:paraId="5ED429F5" w14:textId="77777777" w:rsidR="00716D5E" w:rsidRDefault="007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7C3F" w14:textId="77777777" w:rsidR="00716D5E" w:rsidRDefault="00716D5E">
      <w:r>
        <w:separator/>
      </w:r>
    </w:p>
  </w:footnote>
  <w:footnote w:type="continuationSeparator" w:id="0">
    <w:p w14:paraId="4680BD5B" w14:textId="77777777" w:rsidR="00716D5E" w:rsidRDefault="0071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6994" w14:textId="77777777" w:rsidR="005165F9" w:rsidRDefault="00DF5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9D3FA88" wp14:editId="143F0634">
              <wp:simplePos x="0" y="0"/>
              <wp:positionH relativeFrom="page">
                <wp:posOffset>5898515</wp:posOffset>
              </wp:positionH>
              <wp:positionV relativeFrom="page">
                <wp:posOffset>658495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B5FB3" w14:textId="77777777" w:rsidR="005165F9" w:rsidRDefault="00DF58C2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3FA88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64.45pt;margin-top:51.8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" filled="f" stroked="f">
              <v:textbox style="mso-fit-shape-to-text:t" inset="0,0,0,0">
                <w:txbxContent>
                  <w:p w14:paraId="30FB5FB3" w14:textId="77777777" w:rsidR="005165F9" w:rsidRDefault="00DF58C2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5"/>
    <w:rsid w:val="001E2D22"/>
    <w:rsid w:val="00617DB7"/>
    <w:rsid w:val="00716D5E"/>
    <w:rsid w:val="009B2815"/>
    <w:rsid w:val="00A45DD5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F556"/>
  <w15:chartTrackingRefBased/>
  <w15:docId w15:val="{4DB9101A-3A5B-4BC7-82DA-EEC349C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DF58C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F58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DF58C2"/>
    <w:pPr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F58C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F58C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9B28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32-13-20210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-17-202102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1313</Words>
  <Characters>7489</Characters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2021-02-12T08:34:00Z</dcterms:created>
  <dcterms:modified xsi:type="dcterms:W3CDTF">2021-05-26T09:41:00Z</dcterms:modified>
</cp:coreProperties>
</file>