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C191" w14:textId="3682F6D6" w:rsidR="00F64A93" w:rsidRDefault="00A53B4D" w:rsidP="0074137A">
      <w:pPr>
        <w:pStyle w:val="a4"/>
        <w:ind w:left="5216" w:firstLine="0"/>
        <w:jc w:val="left"/>
        <w:rPr>
          <w:rFonts w:ascii="Times New Roman" w:hAnsi="Times New Roman" w:cs="Times New Roman"/>
          <w:b w:val="0"/>
          <w:color w:val="auto"/>
          <w:sz w:val="28"/>
          <w:szCs w:val="28"/>
        </w:rPr>
      </w:pPr>
      <w:r w:rsidRPr="008D7986">
        <w:rPr>
          <w:rStyle w:val="a3"/>
          <w:rFonts w:ascii="Times New Roman" w:hAnsi="Times New Roman" w:cs="Times New Roman"/>
          <w:color w:val="auto"/>
          <w:sz w:val="28"/>
          <w:szCs w:val="28"/>
        </w:rPr>
        <w:t xml:space="preserve">Приложение </w:t>
      </w:r>
    </w:p>
    <w:p w14:paraId="56EAA0F1" w14:textId="0D1ED70C" w:rsidR="00A53B4D" w:rsidRDefault="00F64A93" w:rsidP="0074137A">
      <w:pPr>
        <w:pStyle w:val="a4"/>
        <w:ind w:left="5216" w:firstLine="0"/>
        <w:jc w:val="left"/>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к </w:t>
      </w:r>
      <w:r w:rsidR="00A53B4D" w:rsidRPr="007B3638">
        <w:rPr>
          <w:rFonts w:ascii="Times New Roman" w:hAnsi="Times New Roman" w:cs="Times New Roman"/>
          <w:b w:val="0"/>
          <w:color w:val="auto"/>
          <w:sz w:val="28"/>
          <w:szCs w:val="28"/>
        </w:rPr>
        <w:t>Требования</w:t>
      </w:r>
      <w:r>
        <w:rPr>
          <w:rFonts w:ascii="Times New Roman" w:hAnsi="Times New Roman" w:cs="Times New Roman"/>
          <w:b w:val="0"/>
          <w:color w:val="auto"/>
          <w:sz w:val="28"/>
          <w:szCs w:val="28"/>
        </w:rPr>
        <w:t>м</w:t>
      </w:r>
      <w:r w:rsidR="00A53B4D" w:rsidRPr="007B3638">
        <w:rPr>
          <w:rFonts w:ascii="Times New Roman" w:hAnsi="Times New Roman" w:cs="Times New Roman"/>
          <w:b w:val="0"/>
          <w:color w:val="auto"/>
          <w:sz w:val="28"/>
          <w:szCs w:val="28"/>
        </w:rPr>
        <w:t xml:space="preserve"> к правилам внутреннего контроля </w:t>
      </w:r>
      <w:r w:rsidR="00A53B4D" w:rsidRPr="00E5549D">
        <w:rPr>
          <w:rFonts w:ascii="Times New Roman" w:eastAsia="Times New Roman" w:hAnsi="Times New Roman" w:cs="Times New Roman"/>
          <w:b w:val="0"/>
          <w:color w:val="auto"/>
          <w:sz w:val="28"/>
          <w:szCs w:val="28"/>
        </w:rPr>
        <w:t>субъект</w:t>
      </w:r>
      <w:r w:rsidR="00A53B4D">
        <w:rPr>
          <w:rFonts w:ascii="Times New Roman" w:eastAsia="Times New Roman" w:hAnsi="Times New Roman" w:cs="Times New Roman"/>
          <w:b w:val="0"/>
          <w:color w:val="auto"/>
          <w:sz w:val="28"/>
          <w:szCs w:val="28"/>
        </w:rPr>
        <w:t>ов</w:t>
      </w:r>
      <w:r w:rsidR="00A53B4D" w:rsidRPr="00E5549D">
        <w:rPr>
          <w:rFonts w:ascii="Times New Roman" w:eastAsia="Times New Roman" w:hAnsi="Times New Roman" w:cs="Times New Roman"/>
          <w:b w:val="0"/>
          <w:color w:val="auto"/>
          <w:sz w:val="28"/>
          <w:szCs w:val="28"/>
        </w:rPr>
        <w:t xml:space="preserve"> первичного финансового мониторинга в целях противодействия легализации (отмыванию) доходов, полученных преступным путем, и финансированию терроризма</w:t>
      </w:r>
      <w:r w:rsidR="00A53B4D">
        <w:rPr>
          <w:rFonts w:ascii="Times New Roman" w:eastAsia="Times New Roman" w:hAnsi="Times New Roman" w:cs="Times New Roman"/>
          <w:b w:val="0"/>
          <w:color w:val="auto"/>
          <w:sz w:val="28"/>
          <w:szCs w:val="28"/>
        </w:rPr>
        <w:t>,</w:t>
      </w:r>
      <w:r w:rsidR="00A53B4D" w:rsidRPr="00E5549D">
        <w:rPr>
          <w:rFonts w:ascii="Times New Roman" w:eastAsia="Times New Roman" w:hAnsi="Times New Roman" w:cs="Times New Roman"/>
          <w:b w:val="0"/>
          <w:color w:val="auto"/>
          <w:sz w:val="28"/>
          <w:szCs w:val="28"/>
        </w:rPr>
        <w:t xml:space="preserve"> </w:t>
      </w:r>
      <w:r w:rsidR="00A53B4D" w:rsidRPr="00154DF2">
        <w:rPr>
          <w:rFonts w:ascii="Times New Roman" w:eastAsia="Times New Roman" w:hAnsi="Times New Roman" w:cs="Times New Roman"/>
          <w:b w:val="0"/>
          <w:color w:val="auto"/>
          <w:sz w:val="28"/>
          <w:szCs w:val="28"/>
        </w:rPr>
        <w:t>в отношении которых регулирование и надзор (контроль) осуществляет Центральный Республиканский Банк</w:t>
      </w:r>
      <w:r w:rsidR="00A53B4D" w:rsidRPr="00E5549D">
        <w:rPr>
          <w:rFonts w:ascii="Times New Roman" w:eastAsia="Times New Roman" w:hAnsi="Times New Roman" w:cs="Times New Roman"/>
          <w:b w:val="0"/>
          <w:color w:val="auto"/>
          <w:sz w:val="28"/>
          <w:szCs w:val="28"/>
        </w:rPr>
        <w:t xml:space="preserve"> Донецкой Народной Республики (кроме банковских учреждений)</w:t>
      </w:r>
    </w:p>
    <w:p w14:paraId="022D252E" w14:textId="77777777" w:rsidR="00A53B4D" w:rsidRPr="0003763D" w:rsidRDefault="00A53B4D">
      <w:pPr>
        <w:ind w:left="5471" w:hanging="255"/>
      </w:pPr>
      <w:r w:rsidRPr="0003763D">
        <w:rPr>
          <w:rFonts w:ascii="Times New Roman" w:eastAsia="Times New Roman" w:hAnsi="Times New Roman" w:cs="Times New Roman"/>
          <w:sz w:val="28"/>
          <w:szCs w:val="28"/>
        </w:rPr>
        <w:t xml:space="preserve">(пункт </w:t>
      </w:r>
      <w:r>
        <w:rPr>
          <w:rFonts w:ascii="Times New Roman" w:eastAsia="Times New Roman" w:hAnsi="Times New Roman" w:cs="Times New Roman"/>
          <w:sz w:val="28"/>
          <w:szCs w:val="28"/>
        </w:rPr>
        <w:t>4</w:t>
      </w:r>
      <w:r w:rsidRPr="0003763D">
        <w:rPr>
          <w:rFonts w:ascii="Times New Roman" w:eastAsia="Times New Roman" w:hAnsi="Times New Roman" w:cs="Times New Roman"/>
          <w:sz w:val="28"/>
          <w:szCs w:val="28"/>
        </w:rPr>
        <w:t>.2 раздела I</w:t>
      </w:r>
      <w:r>
        <w:rPr>
          <w:rFonts w:ascii="Times New Roman" w:eastAsia="Times New Roman" w:hAnsi="Times New Roman" w:cs="Times New Roman"/>
          <w:sz w:val="28"/>
          <w:szCs w:val="28"/>
          <w:lang w:val="en-US"/>
        </w:rPr>
        <w:t>V</w:t>
      </w:r>
      <w:r w:rsidRPr="0003763D">
        <w:rPr>
          <w:rFonts w:ascii="Times New Roman" w:eastAsia="Times New Roman" w:hAnsi="Times New Roman" w:cs="Times New Roman"/>
          <w:sz w:val="28"/>
          <w:szCs w:val="28"/>
        </w:rPr>
        <w:t>)</w:t>
      </w:r>
    </w:p>
    <w:p w14:paraId="18F81135" w14:textId="77777777" w:rsidR="00A53B4D" w:rsidRPr="008D7986" w:rsidRDefault="00A53B4D">
      <w:pPr>
        <w:rPr>
          <w:rFonts w:ascii="Times New Roman" w:hAnsi="Times New Roman" w:cs="Times New Roman"/>
          <w:sz w:val="28"/>
          <w:szCs w:val="28"/>
        </w:rPr>
      </w:pPr>
    </w:p>
    <w:p w14:paraId="7FB8DA45" w14:textId="77777777" w:rsidR="00A53B4D" w:rsidRPr="008D7986" w:rsidRDefault="00A53B4D" w:rsidP="0033296B">
      <w:pPr>
        <w:pStyle w:val="1"/>
        <w:spacing w:before="0" w:after="0"/>
        <w:rPr>
          <w:rFonts w:ascii="Times New Roman" w:hAnsi="Times New Roman" w:cs="Times New Roman"/>
          <w:color w:val="auto"/>
          <w:sz w:val="28"/>
          <w:szCs w:val="28"/>
        </w:rPr>
      </w:pPr>
      <w:r w:rsidRPr="008D7986">
        <w:rPr>
          <w:rFonts w:ascii="Times New Roman" w:hAnsi="Times New Roman" w:cs="Times New Roman"/>
          <w:color w:val="auto"/>
          <w:sz w:val="28"/>
          <w:szCs w:val="28"/>
        </w:rPr>
        <w:t>Факторы, влияющие на оцен</w:t>
      </w:r>
      <w:bookmarkStart w:id="0" w:name="_GoBack"/>
      <w:bookmarkEnd w:id="0"/>
      <w:r w:rsidRPr="008D7986">
        <w:rPr>
          <w:rFonts w:ascii="Times New Roman" w:hAnsi="Times New Roman" w:cs="Times New Roman"/>
          <w:color w:val="auto"/>
          <w:sz w:val="28"/>
          <w:szCs w:val="28"/>
        </w:rPr>
        <w:t>ку риска клиента</w:t>
      </w:r>
    </w:p>
    <w:p w14:paraId="719A8CDD" w14:textId="77777777" w:rsidR="0074137A" w:rsidRDefault="0074137A" w:rsidP="0074137A">
      <w:pPr>
        <w:rPr>
          <w:rFonts w:ascii="Times New Roman" w:hAnsi="Times New Roman" w:cs="Times New Roman"/>
          <w:sz w:val="28"/>
          <w:szCs w:val="28"/>
        </w:rPr>
      </w:pPr>
    </w:p>
    <w:p w14:paraId="511AE79B" w14:textId="0D08AD41" w:rsidR="00A53B4D" w:rsidRPr="008D7986" w:rsidRDefault="00A53B4D" w:rsidP="0074137A">
      <w:pPr>
        <w:rPr>
          <w:rFonts w:ascii="Times New Roman" w:hAnsi="Times New Roman" w:cs="Times New Roman"/>
          <w:sz w:val="28"/>
          <w:szCs w:val="28"/>
        </w:rPr>
      </w:pPr>
      <w:r w:rsidRPr="008D7986">
        <w:rPr>
          <w:rFonts w:ascii="Times New Roman" w:hAnsi="Times New Roman" w:cs="Times New Roman"/>
          <w:sz w:val="28"/>
          <w:szCs w:val="28"/>
        </w:rPr>
        <w:t xml:space="preserve">1. Факторами, </w:t>
      </w:r>
      <w:r w:rsidR="00482F62">
        <w:rPr>
          <w:rFonts w:ascii="Times New Roman" w:hAnsi="Times New Roman" w:cs="Times New Roman"/>
          <w:sz w:val="28"/>
          <w:szCs w:val="28"/>
        </w:rPr>
        <w:t>в</w:t>
      </w:r>
      <w:r w:rsidRPr="008D7986">
        <w:rPr>
          <w:rFonts w:ascii="Times New Roman" w:hAnsi="Times New Roman" w:cs="Times New Roman"/>
          <w:sz w:val="28"/>
          <w:szCs w:val="28"/>
        </w:rPr>
        <w:t xml:space="preserve">лияющими на оценку риска клиента в категории </w:t>
      </w:r>
      <w:r w:rsidR="00C34A0E">
        <w:rPr>
          <w:rFonts w:ascii="Times New Roman" w:hAnsi="Times New Roman" w:cs="Times New Roman"/>
          <w:sz w:val="28"/>
          <w:szCs w:val="28"/>
        </w:rPr>
        <w:t>«</w:t>
      </w:r>
      <w:r w:rsidRPr="008D7986">
        <w:rPr>
          <w:rFonts w:ascii="Times New Roman" w:hAnsi="Times New Roman" w:cs="Times New Roman"/>
          <w:sz w:val="28"/>
          <w:szCs w:val="28"/>
        </w:rPr>
        <w:t>риск по типу клиента и (или) бенефициарного владельца</w:t>
      </w:r>
      <w:r w:rsidR="00C34A0E">
        <w:rPr>
          <w:rFonts w:ascii="Times New Roman" w:hAnsi="Times New Roman" w:cs="Times New Roman"/>
          <w:sz w:val="28"/>
          <w:szCs w:val="28"/>
        </w:rPr>
        <w:t>»</w:t>
      </w:r>
      <w:r w:rsidRPr="008D7986">
        <w:rPr>
          <w:rFonts w:ascii="Times New Roman" w:hAnsi="Times New Roman" w:cs="Times New Roman"/>
          <w:sz w:val="28"/>
          <w:szCs w:val="28"/>
        </w:rPr>
        <w:t>, являются:</w:t>
      </w:r>
    </w:p>
    <w:p w14:paraId="1033FFC0" w14:textId="3E06BD58" w:rsidR="00A53B4D" w:rsidRPr="008D7986" w:rsidRDefault="00A53B4D" w:rsidP="0074137A">
      <w:pPr>
        <w:rPr>
          <w:rFonts w:ascii="Times New Roman" w:hAnsi="Times New Roman" w:cs="Times New Roman"/>
          <w:sz w:val="28"/>
          <w:szCs w:val="28"/>
        </w:rPr>
      </w:pPr>
      <w:r w:rsidRPr="00BF67D6">
        <w:rPr>
          <w:rFonts w:ascii="Times New Roman" w:hAnsi="Times New Roman" w:cs="Times New Roman"/>
          <w:sz w:val="28"/>
          <w:szCs w:val="28"/>
        </w:rPr>
        <w:t xml:space="preserve">наличие у клиента и (или) </w:t>
      </w:r>
      <w:proofErr w:type="spellStart"/>
      <w:r w:rsidRPr="00BF67D6">
        <w:rPr>
          <w:rFonts w:ascii="Times New Roman" w:hAnsi="Times New Roman" w:cs="Times New Roman"/>
          <w:sz w:val="28"/>
          <w:szCs w:val="28"/>
        </w:rPr>
        <w:t>бенефициарного</w:t>
      </w:r>
      <w:proofErr w:type="spellEnd"/>
      <w:r w:rsidRPr="00BF67D6">
        <w:rPr>
          <w:rFonts w:ascii="Times New Roman" w:hAnsi="Times New Roman" w:cs="Times New Roman"/>
          <w:sz w:val="28"/>
          <w:szCs w:val="28"/>
        </w:rPr>
        <w:t xml:space="preserve"> владельца </w:t>
      </w:r>
      <w:r w:rsidR="007A1580">
        <w:rPr>
          <w:rFonts w:ascii="Times New Roman" w:hAnsi="Times New Roman" w:cs="Times New Roman"/>
          <w:sz w:val="28"/>
          <w:szCs w:val="28"/>
        </w:rPr>
        <w:t>статуса</w:t>
      </w:r>
      <w:r w:rsidR="00BF67D6">
        <w:rPr>
          <w:rFonts w:ascii="Times New Roman" w:hAnsi="Times New Roman" w:cs="Times New Roman"/>
          <w:sz w:val="28"/>
          <w:szCs w:val="28"/>
        </w:rPr>
        <w:t xml:space="preserve"> публично</w:t>
      </w:r>
      <w:r w:rsidR="007A1580">
        <w:rPr>
          <w:rFonts w:ascii="Times New Roman" w:hAnsi="Times New Roman" w:cs="Times New Roman"/>
          <w:sz w:val="28"/>
          <w:szCs w:val="28"/>
        </w:rPr>
        <w:t>го</w:t>
      </w:r>
      <w:r w:rsidR="00BF67D6">
        <w:rPr>
          <w:rFonts w:ascii="Times New Roman" w:hAnsi="Times New Roman" w:cs="Times New Roman"/>
          <w:sz w:val="28"/>
          <w:szCs w:val="28"/>
        </w:rPr>
        <w:t xml:space="preserve"> должностно</w:t>
      </w:r>
      <w:r w:rsidR="007A1580">
        <w:rPr>
          <w:rFonts w:ascii="Times New Roman" w:hAnsi="Times New Roman" w:cs="Times New Roman"/>
          <w:sz w:val="28"/>
          <w:szCs w:val="28"/>
        </w:rPr>
        <w:t>го</w:t>
      </w:r>
      <w:r w:rsidR="00BF67D6">
        <w:rPr>
          <w:rFonts w:ascii="Times New Roman" w:hAnsi="Times New Roman" w:cs="Times New Roman"/>
          <w:sz w:val="28"/>
          <w:szCs w:val="28"/>
        </w:rPr>
        <w:t xml:space="preserve"> лиц</w:t>
      </w:r>
      <w:r w:rsidR="007A1580">
        <w:rPr>
          <w:rFonts w:ascii="Times New Roman" w:hAnsi="Times New Roman" w:cs="Times New Roman"/>
          <w:sz w:val="28"/>
          <w:szCs w:val="28"/>
        </w:rPr>
        <w:t>а</w:t>
      </w:r>
      <w:r w:rsidRPr="00BF67D6">
        <w:rPr>
          <w:rFonts w:ascii="Times New Roman" w:hAnsi="Times New Roman" w:cs="Times New Roman"/>
          <w:sz w:val="28"/>
          <w:szCs w:val="28"/>
        </w:rPr>
        <w:t>, указанно</w:t>
      </w:r>
      <w:r w:rsidR="007A1580">
        <w:rPr>
          <w:rFonts w:ascii="Times New Roman" w:hAnsi="Times New Roman" w:cs="Times New Roman"/>
          <w:sz w:val="28"/>
          <w:szCs w:val="28"/>
        </w:rPr>
        <w:t>го</w:t>
      </w:r>
      <w:r w:rsidRPr="00BF67D6">
        <w:rPr>
          <w:rFonts w:ascii="Times New Roman" w:hAnsi="Times New Roman" w:cs="Times New Roman"/>
          <w:sz w:val="28"/>
          <w:szCs w:val="28"/>
        </w:rPr>
        <w:t xml:space="preserve"> в </w:t>
      </w:r>
      <w:r w:rsidR="00BF67D6">
        <w:rPr>
          <w:rFonts w:ascii="Times New Roman" w:hAnsi="Times New Roman" w:cs="Times New Roman"/>
          <w:sz w:val="28"/>
          <w:szCs w:val="28"/>
        </w:rPr>
        <w:t>абзаце двадцать чет</w:t>
      </w:r>
      <w:r w:rsidR="00F64A93">
        <w:rPr>
          <w:rFonts w:ascii="Times New Roman" w:hAnsi="Times New Roman" w:cs="Times New Roman"/>
          <w:sz w:val="28"/>
          <w:szCs w:val="28"/>
        </w:rPr>
        <w:t>ве</w:t>
      </w:r>
      <w:r w:rsidR="00BF67D6">
        <w:rPr>
          <w:rFonts w:ascii="Times New Roman" w:hAnsi="Times New Roman" w:cs="Times New Roman"/>
          <w:sz w:val="28"/>
          <w:szCs w:val="28"/>
        </w:rPr>
        <w:t>р</w:t>
      </w:r>
      <w:r w:rsidR="00F64A93">
        <w:rPr>
          <w:rFonts w:ascii="Times New Roman" w:hAnsi="Times New Roman" w:cs="Times New Roman"/>
          <w:sz w:val="28"/>
          <w:szCs w:val="28"/>
        </w:rPr>
        <w:t>том</w:t>
      </w:r>
      <w:r w:rsidR="00BF67D6">
        <w:rPr>
          <w:rFonts w:ascii="Times New Roman" w:hAnsi="Times New Roman" w:cs="Times New Roman"/>
          <w:sz w:val="28"/>
          <w:szCs w:val="28"/>
        </w:rPr>
        <w:t xml:space="preserve"> </w:t>
      </w:r>
      <w:r w:rsidRPr="00BF67D6">
        <w:rPr>
          <w:rFonts w:ascii="Times New Roman" w:hAnsi="Times New Roman" w:cs="Times New Roman"/>
          <w:sz w:val="28"/>
          <w:szCs w:val="28"/>
        </w:rPr>
        <w:t>пункт</w:t>
      </w:r>
      <w:r w:rsidR="00FD5117" w:rsidRPr="00BF67D6">
        <w:rPr>
          <w:rFonts w:ascii="Times New Roman" w:hAnsi="Times New Roman" w:cs="Times New Roman"/>
          <w:sz w:val="28"/>
          <w:szCs w:val="28"/>
        </w:rPr>
        <w:t>а</w:t>
      </w:r>
      <w:r w:rsidRPr="00BF67D6">
        <w:rPr>
          <w:rFonts w:ascii="Times New Roman" w:hAnsi="Times New Roman" w:cs="Times New Roman"/>
          <w:sz w:val="28"/>
          <w:szCs w:val="28"/>
        </w:rPr>
        <w:t xml:space="preserve"> </w:t>
      </w:r>
      <w:r w:rsidR="00BF67D6">
        <w:rPr>
          <w:rFonts w:ascii="Times New Roman" w:hAnsi="Times New Roman" w:cs="Times New Roman"/>
          <w:sz w:val="28"/>
          <w:szCs w:val="28"/>
        </w:rPr>
        <w:t>1</w:t>
      </w:r>
      <w:r w:rsidRPr="00BF67D6">
        <w:rPr>
          <w:rFonts w:ascii="Times New Roman" w:hAnsi="Times New Roman" w:cs="Times New Roman"/>
          <w:sz w:val="28"/>
          <w:szCs w:val="28"/>
        </w:rPr>
        <w:t>.</w:t>
      </w:r>
      <w:r w:rsidR="00BF67D6">
        <w:rPr>
          <w:rFonts w:ascii="Times New Roman" w:hAnsi="Times New Roman" w:cs="Times New Roman"/>
          <w:sz w:val="28"/>
          <w:szCs w:val="28"/>
        </w:rPr>
        <w:t>5</w:t>
      </w:r>
      <w:r w:rsidRPr="00BF67D6">
        <w:rPr>
          <w:rFonts w:ascii="Times New Roman" w:hAnsi="Times New Roman" w:cs="Times New Roman"/>
          <w:sz w:val="28"/>
          <w:szCs w:val="28"/>
        </w:rPr>
        <w:t xml:space="preserve"> раздела </w:t>
      </w:r>
      <w:r w:rsidRPr="00BF67D6">
        <w:rPr>
          <w:rFonts w:ascii="Times New Roman" w:hAnsi="Times New Roman" w:cs="Times New Roman"/>
          <w:sz w:val="28"/>
          <w:szCs w:val="28"/>
          <w:lang w:val="en-US"/>
        </w:rPr>
        <w:t>I</w:t>
      </w:r>
      <w:r w:rsidRPr="00BF67D6">
        <w:rPr>
          <w:rFonts w:ascii="Times New Roman" w:hAnsi="Times New Roman" w:cs="Times New Roman"/>
          <w:sz w:val="28"/>
          <w:szCs w:val="28"/>
        </w:rPr>
        <w:t xml:space="preserve"> Временного положения;</w:t>
      </w:r>
    </w:p>
    <w:p w14:paraId="35E72571"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наличие оснований полагать, что представленные клиентом документы и информация, в том числе в целях идентификации, являются недостоверными;</w:t>
      </w:r>
    </w:p>
    <w:p w14:paraId="7F943ED5"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ранее принятое в отношении клиента решение об отказе в выполнении его распоряжения о совершении операции;</w:t>
      </w:r>
    </w:p>
    <w:p w14:paraId="753B68F6" w14:textId="77777777" w:rsidR="00A53B4D" w:rsidRPr="008D7986" w:rsidRDefault="00A53B4D">
      <w:pPr>
        <w:rPr>
          <w:rFonts w:ascii="Times New Roman" w:hAnsi="Times New Roman" w:cs="Times New Roman"/>
          <w:sz w:val="28"/>
          <w:szCs w:val="28"/>
        </w:rPr>
      </w:pPr>
      <w:bookmarkStart w:id="1" w:name="sub_2005"/>
      <w:r w:rsidRPr="008D7986">
        <w:rPr>
          <w:rFonts w:ascii="Times New Roman" w:hAnsi="Times New Roman" w:cs="Times New Roman"/>
          <w:sz w:val="28"/>
          <w:szCs w:val="28"/>
        </w:rPr>
        <w:t>отсутствие информации о финансово-хозяйственной деятельности клиента - юридического лица, в открытых источниках;</w:t>
      </w:r>
    </w:p>
    <w:bookmarkEnd w:id="1"/>
    <w:p w14:paraId="0336A1AD"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регистрация клиента - юридического лица по адресу, по которому зарегистрировано другое юридическое лицо;</w:t>
      </w:r>
    </w:p>
    <w:p w14:paraId="61E52A82" w14:textId="77777777" w:rsidR="00A53B4D" w:rsidRPr="008D7986" w:rsidRDefault="00A53B4D">
      <w:pPr>
        <w:rPr>
          <w:rFonts w:ascii="Times New Roman" w:hAnsi="Times New Roman" w:cs="Times New Roman"/>
          <w:sz w:val="28"/>
          <w:szCs w:val="28"/>
        </w:rPr>
      </w:pPr>
      <w:bookmarkStart w:id="2" w:name="sub_2007"/>
      <w:r w:rsidRPr="008D7986">
        <w:rPr>
          <w:rFonts w:ascii="Times New Roman" w:hAnsi="Times New Roman" w:cs="Times New Roman"/>
          <w:sz w:val="28"/>
          <w:szCs w:val="28"/>
        </w:rPr>
        <w:t xml:space="preserve">наличие информации о представлении клиентом - юридическим лицом, бухгалтерской (финансовой) отчетности и (или) налоговой отчетности с нулевыми показателями за последние четыре отчетных периода в случае, когда </w:t>
      </w:r>
      <w:r>
        <w:rPr>
          <w:rFonts w:ascii="Times New Roman" w:hAnsi="Times New Roman" w:cs="Times New Roman"/>
          <w:sz w:val="28"/>
          <w:szCs w:val="28"/>
        </w:rPr>
        <w:t>подведомственному субъекту</w:t>
      </w:r>
      <w:r w:rsidRPr="008D7986">
        <w:rPr>
          <w:rFonts w:ascii="Times New Roman" w:hAnsi="Times New Roman" w:cs="Times New Roman"/>
          <w:sz w:val="28"/>
          <w:szCs w:val="28"/>
        </w:rPr>
        <w:t xml:space="preserve"> известно о совершении клиентом - юридическим лицом операций (сделок) с денежными средствами или иным имуществом;</w:t>
      </w:r>
    </w:p>
    <w:p w14:paraId="2F9CB411" w14:textId="61040B39" w:rsidR="00A53B4D" w:rsidRPr="008D7986" w:rsidRDefault="00A53B4D">
      <w:pPr>
        <w:rPr>
          <w:rFonts w:ascii="Times New Roman" w:hAnsi="Times New Roman" w:cs="Times New Roman"/>
          <w:sz w:val="28"/>
          <w:szCs w:val="28"/>
        </w:rPr>
      </w:pPr>
      <w:bookmarkStart w:id="3" w:name="sub_2008"/>
      <w:bookmarkEnd w:id="2"/>
      <w:r w:rsidRPr="008D7986">
        <w:rPr>
          <w:rFonts w:ascii="Times New Roman" w:hAnsi="Times New Roman" w:cs="Times New Roman"/>
          <w:sz w:val="28"/>
          <w:szCs w:val="28"/>
        </w:rPr>
        <w:t xml:space="preserve">включение клиента и (или) бенефициарного владельца клиента в Перечень </w:t>
      </w:r>
      <w:r w:rsidR="001B2C83">
        <w:rPr>
          <w:rFonts w:ascii="Times New Roman" w:hAnsi="Times New Roman" w:cs="Times New Roman"/>
          <w:sz w:val="28"/>
          <w:szCs w:val="28"/>
        </w:rPr>
        <w:t>юридических</w:t>
      </w:r>
      <w:r w:rsidR="001B2C83" w:rsidRPr="008D7986">
        <w:rPr>
          <w:rFonts w:ascii="Times New Roman" w:hAnsi="Times New Roman" w:cs="Times New Roman"/>
          <w:sz w:val="28"/>
          <w:szCs w:val="28"/>
        </w:rPr>
        <w:t xml:space="preserve"> </w:t>
      </w:r>
      <w:r w:rsidRPr="008D7986">
        <w:rPr>
          <w:rFonts w:ascii="Times New Roman" w:hAnsi="Times New Roman" w:cs="Times New Roman"/>
          <w:sz w:val="28"/>
          <w:szCs w:val="28"/>
        </w:rPr>
        <w:t>и физических лиц;</w:t>
      </w:r>
    </w:p>
    <w:bookmarkEnd w:id="3"/>
    <w:p w14:paraId="29B4BDCE" w14:textId="15EE6B60"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 xml:space="preserve">принятие в отношении клиента и (или) бенефициарного владельца клиента </w:t>
      </w:r>
      <w:r w:rsidR="00D91D5D">
        <w:rPr>
          <w:rFonts w:ascii="Times New Roman" w:hAnsi="Times New Roman" w:cs="Times New Roman"/>
          <w:sz w:val="28"/>
          <w:szCs w:val="28"/>
        </w:rPr>
        <w:t>Министерством государственной безопасности Донецкой Народной Республики</w:t>
      </w:r>
      <w:r w:rsidRPr="008D7986">
        <w:rPr>
          <w:rFonts w:ascii="Times New Roman" w:hAnsi="Times New Roman" w:cs="Times New Roman"/>
          <w:sz w:val="28"/>
          <w:szCs w:val="28"/>
        </w:rPr>
        <w:t xml:space="preserve"> решения о замораживании (блокировании) принадлежащих ему денежных средств или иного имущества;</w:t>
      </w:r>
    </w:p>
    <w:p w14:paraId="15E24235" w14:textId="77777777" w:rsidR="00A53B4D" w:rsidRPr="008D7986" w:rsidRDefault="00A53B4D">
      <w:pPr>
        <w:rPr>
          <w:rFonts w:ascii="Times New Roman" w:hAnsi="Times New Roman" w:cs="Times New Roman"/>
          <w:sz w:val="28"/>
          <w:szCs w:val="28"/>
        </w:rPr>
      </w:pPr>
      <w:bookmarkStart w:id="4" w:name="sub_2010"/>
      <w:r w:rsidRPr="00720758">
        <w:rPr>
          <w:rFonts w:ascii="Times New Roman" w:hAnsi="Times New Roman" w:cs="Times New Roman"/>
          <w:sz w:val="28"/>
          <w:szCs w:val="28"/>
        </w:rPr>
        <w:t>отсутствие органа или представителя клиента - юридического лица</w:t>
      </w:r>
      <w:r w:rsidRPr="008D7986">
        <w:rPr>
          <w:rFonts w:ascii="Times New Roman" w:hAnsi="Times New Roman" w:cs="Times New Roman"/>
          <w:sz w:val="28"/>
          <w:szCs w:val="28"/>
        </w:rPr>
        <w:t xml:space="preserve"> по адресу такого клиента - юридического лица, указанному в </w:t>
      </w:r>
      <w:r>
        <w:rPr>
          <w:rFonts w:ascii="Times New Roman" w:hAnsi="Times New Roman" w:cs="Times New Roman"/>
          <w:sz w:val="28"/>
          <w:szCs w:val="28"/>
        </w:rPr>
        <w:t>Е</w:t>
      </w:r>
      <w:r w:rsidRPr="008D7986">
        <w:rPr>
          <w:rFonts w:ascii="Times New Roman" w:hAnsi="Times New Roman" w:cs="Times New Roman"/>
          <w:sz w:val="28"/>
          <w:szCs w:val="28"/>
        </w:rPr>
        <w:t xml:space="preserve">дином </w:t>
      </w:r>
      <w:r w:rsidRPr="008D7986">
        <w:rPr>
          <w:rFonts w:ascii="Times New Roman" w:hAnsi="Times New Roman" w:cs="Times New Roman"/>
          <w:sz w:val="28"/>
          <w:szCs w:val="28"/>
        </w:rPr>
        <w:lastRenderedPageBreak/>
        <w:t>государственном реестре юридических лиц и физических лиц – предпринимателей;</w:t>
      </w:r>
    </w:p>
    <w:p w14:paraId="2412B1D7" w14:textId="77777777" w:rsidR="00A53B4D" w:rsidRPr="008D7986" w:rsidRDefault="00A53B4D">
      <w:pPr>
        <w:rPr>
          <w:rFonts w:ascii="Times New Roman" w:hAnsi="Times New Roman" w:cs="Times New Roman"/>
          <w:sz w:val="28"/>
          <w:szCs w:val="28"/>
        </w:rPr>
      </w:pPr>
      <w:bookmarkStart w:id="5" w:name="sub_2011"/>
      <w:bookmarkEnd w:id="4"/>
      <w:r w:rsidRPr="008D7986">
        <w:rPr>
          <w:rFonts w:ascii="Times New Roman" w:hAnsi="Times New Roman" w:cs="Times New Roman"/>
          <w:sz w:val="28"/>
          <w:szCs w:val="28"/>
        </w:rPr>
        <w:t xml:space="preserve">иные факторы, самостоятельно определяемые </w:t>
      </w:r>
      <w:r>
        <w:rPr>
          <w:rFonts w:ascii="Times New Roman" w:hAnsi="Times New Roman" w:cs="Times New Roman"/>
          <w:sz w:val="28"/>
          <w:szCs w:val="28"/>
        </w:rPr>
        <w:t>подведомственным субъектом</w:t>
      </w:r>
      <w:r w:rsidRPr="008D7986">
        <w:rPr>
          <w:rFonts w:ascii="Times New Roman" w:hAnsi="Times New Roman" w:cs="Times New Roman"/>
          <w:sz w:val="28"/>
          <w:szCs w:val="28"/>
        </w:rPr>
        <w:t>.</w:t>
      </w:r>
    </w:p>
    <w:bookmarkEnd w:id="5"/>
    <w:p w14:paraId="7C3D3CA0" w14:textId="77777777" w:rsidR="00A53B4D" w:rsidRDefault="00A53B4D">
      <w:pPr>
        <w:rPr>
          <w:rFonts w:ascii="Times New Roman" w:hAnsi="Times New Roman" w:cs="Times New Roman"/>
          <w:sz w:val="28"/>
          <w:szCs w:val="28"/>
        </w:rPr>
      </w:pPr>
    </w:p>
    <w:p w14:paraId="544BB6D1" w14:textId="1AB9D73D"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 xml:space="preserve">2. Фактором, влияющим на оценку риска клиента в категории </w:t>
      </w:r>
      <w:r w:rsidR="00C34A0E">
        <w:rPr>
          <w:rFonts w:ascii="Times New Roman" w:hAnsi="Times New Roman" w:cs="Times New Roman"/>
          <w:sz w:val="28"/>
          <w:szCs w:val="28"/>
        </w:rPr>
        <w:t>«</w:t>
      </w:r>
      <w:proofErr w:type="spellStart"/>
      <w:r w:rsidRPr="008D7986">
        <w:rPr>
          <w:rFonts w:ascii="Times New Roman" w:hAnsi="Times New Roman" w:cs="Times New Roman"/>
          <w:sz w:val="28"/>
          <w:szCs w:val="28"/>
        </w:rPr>
        <w:t>страновой</w:t>
      </w:r>
      <w:proofErr w:type="spellEnd"/>
      <w:r w:rsidRPr="008D7986">
        <w:rPr>
          <w:rFonts w:ascii="Times New Roman" w:hAnsi="Times New Roman" w:cs="Times New Roman"/>
          <w:sz w:val="28"/>
          <w:szCs w:val="28"/>
        </w:rPr>
        <w:t xml:space="preserve"> риск</w:t>
      </w:r>
      <w:r w:rsidR="00C34A0E">
        <w:rPr>
          <w:rFonts w:ascii="Times New Roman" w:hAnsi="Times New Roman" w:cs="Times New Roman"/>
          <w:sz w:val="28"/>
          <w:szCs w:val="28"/>
        </w:rPr>
        <w:t>»</w:t>
      </w:r>
      <w:r w:rsidRPr="008D7986">
        <w:rPr>
          <w:rFonts w:ascii="Times New Roman" w:hAnsi="Times New Roman" w:cs="Times New Roman"/>
          <w:sz w:val="28"/>
          <w:szCs w:val="28"/>
        </w:rPr>
        <w:t xml:space="preserve">, является наличие у </w:t>
      </w:r>
      <w:r>
        <w:rPr>
          <w:rFonts w:ascii="Times New Roman" w:hAnsi="Times New Roman" w:cs="Times New Roman"/>
          <w:sz w:val="28"/>
          <w:szCs w:val="28"/>
        </w:rPr>
        <w:t>подведомственного субъекта</w:t>
      </w:r>
      <w:r w:rsidRPr="008D7986">
        <w:rPr>
          <w:rFonts w:ascii="Times New Roman" w:hAnsi="Times New Roman" w:cs="Times New Roman"/>
          <w:sz w:val="28"/>
          <w:szCs w:val="28"/>
        </w:rPr>
        <w:t xml:space="preserve"> информации об иностранном государстве (территории), в котором (на которой) осуществлена регистрация клиента (место жительства или место нахождения), регистрация бенефициарного владельца клиента (место жительства), регистрация контрагента клиента (место жительства или место нахождения), регистрация (место нахождения) банка, обслуживающего контрагента клиента, свидетельствующей о том, что:</w:t>
      </w:r>
    </w:p>
    <w:p w14:paraId="77B150F4" w14:textId="5FAC32C9"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w:t>
      </w:r>
    </w:p>
    <w:p w14:paraId="687BA975" w14:textId="48780AD4"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 xml:space="preserve">Наряду с определенными в настоящем пункте иностранными государствами (территориями) некредитная финансовая организация вправе дополнительно определить иностранные государства (территории) с учетом иных факторов, влияющих на оценку риска клиента в категории </w:t>
      </w:r>
      <w:r w:rsidR="00C34A0E">
        <w:rPr>
          <w:rFonts w:ascii="Times New Roman" w:hAnsi="Times New Roman" w:cs="Times New Roman"/>
          <w:sz w:val="28"/>
          <w:szCs w:val="28"/>
        </w:rPr>
        <w:t>«</w:t>
      </w:r>
      <w:proofErr w:type="spellStart"/>
      <w:r w:rsidRPr="008D7986">
        <w:rPr>
          <w:rFonts w:ascii="Times New Roman" w:hAnsi="Times New Roman" w:cs="Times New Roman"/>
          <w:sz w:val="28"/>
          <w:szCs w:val="28"/>
        </w:rPr>
        <w:t>страновой</w:t>
      </w:r>
      <w:proofErr w:type="spellEnd"/>
      <w:r w:rsidRPr="008D7986">
        <w:rPr>
          <w:rFonts w:ascii="Times New Roman" w:hAnsi="Times New Roman" w:cs="Times New Roman"/>
          <w:sz w:val="28"/>
          <w:szCs w:val="28"/>
        </w:rPr>
        <w:t xml:space="preserve"> риск</w:t>
      </w:r>
      <w:r w:rsidR="00C34A0E">
        <w:rPr>
          <w:rFonts w:ascii="Times New Roman" w:hAnsi="Times New Roman" w:cs="Times New Roman"/>
          <w:sz w:val="28"/>
          <w:szCs w:val="28"/>
        </w:rPr>
        <w:t>»</w:t>
      </w:r>
      <w:r w:rsidRPr="008D7986">
        <w:rPr>
          <w:rFonts w:ascii="Times New Roman" w:hAnsi="Times New Roman" w:cs="Times New Roman"/>
          <w:sz w:val="28"/>
          <w:szCs w:val="28"/>
        </w:rPr>
        <w:t>.</w:t>
      </w:r>
    </w:p>
    <w:p w14:paraId="6B20E16A" w14:textId="77777777" w:rsidR="00A53B4D" w:rsidRDefault="00A53B4D">
      <w:pPr>
        <w:rPr>
          <w:rFonts w:ascii="Times New Roman" w:hAnsi="Times New Roman" w:cs="Times New Roman"/>
          <w:sz w:val="28"/>
          <w:szCs w:val="28"/>
        </w:rPr>
      </w:pPr>
    </w:p>
    <w:p w14:paraId="67749FA2" w14:textId="132B9DBF"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 xml:space="preserve">3. Факторами, влияющими на оценку риска клиента в категории </w:t>
      </w:r>
      <w:r w:rsidR="00C34A0E">
        <w:rPr>
          <w:rFonts w:ascii="Times New Roman" w:hAnsi="Times New Roman" w:cs="Times New Roman"/>
          <w:sz w:val="28"/>
          <w:szCs w:val="28"/>
        </w:rPr>
        <w:t>«</w:t>
      </w:r>
      <w:r w:rsidRPr="008D7986">
        <w:rPr>
          <w:rFonts w:ascii="Times New Roman" w:hAnsi="Times New Roman" w:cs="Times New Roman"/>
          <w:sz w:val="28"/>
          <w:szCs w:val="28"/>
        </w:rPr>
        <w:t>риск, связанный с проведением клиентом определенного вида операций</w:t>
      </w:r>
      <w:r w:rsidR="00C34A0E">
        <w:rPr>
          <w:rFonts w:ascii="Times New Roman" w:hAnsi="Times New Roman" w:cs="Times New Roman"/>
          <w:sz w:val="28"/>
          <w:szCs w:val="28"/>
        </w:rPr>
        <w:t>»</w:t>
      </w:r>
      <w:r w:rsidRPr="008D7986">
        <w:rPr>
          <w:rFonts w:ascii="Times New Roman" w:hAnsi="Times New Roman" w:cs="Times New Roman"/>
          <w:sz w:val="28"/>
          <w:szCs w:val="28"/>
        </w:rPr>
        <w:t>, являются:</w:t>
      </w:r>
    </w:p>
    <w:p w14:paraId="001CFB13" w14:textId="7579FF43" w:rsidR="00A53B4D" w:rsidRPr="006B5713" w:rsidRDefault="006B5713">
      <w:pPr>
        <w:rPr>
          <w:rFonts w:ascii="Times New Roman" w:hAnsi="Times New Roman" w:cs="Times New Roman"/>
          <w:sz w:val="28"/>
          <w:szCs w:val="28"/>
        </w:rPr>
      </w:pPr>
      <w:r w:rsidRPr="00E05F87">
        <w:rPr>
          <w:rFonts w:ascii="Times New Roman" w:hAnsi="Times New Roman" w:cs="Times New Roman"/>
          <w:sz w:val="28"/>
          <w:szCs w:val="28"/>
        </w:rPr>
        <w:t>деятельность некредитных финансовых организаций, осуществляющих выпуск, распространение и проведение лотерей</w:t>
      </w:r>
      <w:r w:rsidR="00A53B4D" w:rsidRPr="006B5713">
        <w:rPr>
          <w:rFonts w:ascii="Times New Roman" w:hAnsi="Times New Roman" w:cs="Times New Roman"/>
          <w:sz w:val="28"/>
          <w:szCs w:val="28"/>
        </w:rPr>
        <w:t>;</w:t>
      </w:r>
    </w:p>
    <w:p w14:paraId="72D8A69F"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некредитных финансовых организаций, осуществляющих деятельность </w:t>
      </w:r>
      <w:r w:rsidRPr="008D7986">
        <w:rPr>
          <w:rFonts w:ascii="Times New Roman" w:hAnsi="Times New Roman" w:cs="Times New Roman"/>
          <w:sz w:val="28"/>
          <w:szCs w:val="28"/>
        </w:rPr>
        <w:t>микрофинансовых организаций;</w:t>
      </w:r>
    </w:p>
    <w:p w14:paraId="7C7D0DBB"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 xml:space="preserve">деятельность </w:t>
      </w:r>
      <w:r>
        <w:rPr>
          <w:rFonts w:ascii="Times New Roman" w:hAnsi="Times New Roman" w:cs="Times New Roman"/>
          <w:sz w:val="28"/>
          <w:szCs w:val="28"/>
        </w:rPr>
        <w:t>некредитных финансовых организаций, осуществляющих деятельность</w:t>
      </w:r>
      <w:r w:rsidRPr="008D7986">
        <w:rPr>
          <w:rFonts w:ascii="Times New Roman" w:hAnsi="Times New Roman" w:cs="Times New Roman"/>
          <w:sz w:val="28"/>
          <w:szCs w:val="28"/>
        </w:rPr>
        <w:t xml:space="preserve"> ломбардов;</w:t>
      </w:r>
    </w:p>
    <w:p w14:paraId="6484C3C8"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 xml:space="preserve">деятельность </w:t>
      </w:r>
      <w:r>
        <w:rPr>
          <w:rFonts w:ascii="Times New Roman" w:hAnsi="Times New Roman" w:cs="Times New Roman"/>
          <w:sz w:val="28"/>
          <w:szCs w:val="28"/>
        </w:rPr>
        <w:t>некредитных финансовых организаций, осуществляющих деятельность</w:t>
      </w:r>
      <w:r w:rsidRPr="008D7986">
        <w:rPr>
          <w:rFonts w:ascii="Times New Roman" w:hAnsi="Times New Roman" w:cs="Times New Roman"/>
          <w:sz w:val="28"/>
          <w:szCs w:val="28"/>
        </w:rPr>
        <w:t xml:space="preserve"> </w:t>
      </w:r>
      <w:r>
        <w:rPr>
          <w:rFonts w:ascii="Times New Roman" w:hAnsi="Times New Roman" w:cs="Times New Roman"/>
          <w:sz w:val="28"/>
          <w:szCs w:val="28"/>
        </w:rPr>
        <w:t>по обмену валют</w:t>
      </w:r>
      <w:r w:rsidRPr="008D7986">
        <w:rPr>
          <w:rFonts w:ascii="Times New Roman" w:hAnsi="Times New Roman" w:cs="Times New Roman"/>
          <w:sz w:val="28"/>
          <w:szCs w:val="28"/>
        </w:rPr>
        <w:t>;</w:t>
      </w:r>
    </w:p>
    <w:p w14:paraId="5457AB71"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4258FB72"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6AB325BE"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75BBE859"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туроператорская и турагентская деятельность, а также иная деятельность по организации путешествий (туристская деятельность);</w:t>
      </w:r>
    </w:p>
    <w:p w14:paraId="44CDA7FA"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деятельность клиента, связанная с благотворительностью;</w:t>
      </w:r>
    </w:p>
    <w:p w14:paraId="20B1EF39"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lastRenderedPageBreak/>
        <w:t>деятельность клиента, связанная с видами нерегулируемой некоммерческой деятельности;</w:t>
      </w:r>
    </w:p>
    <w:p w14:paraId="65332988"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деятельность клиента,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76CD3FB6" w14:textId="77777777" w:rsidR="00A53B4D" w:rsidRPr="008D7986" w:rsidRDefault="00A53B4D">
      <w:pPr>
        <w:rPr>
          <w:rFonts w:ascii="Times New Roman" w:hAnsi="Times New Roman" w:cs="Times New Roman"/>
          <w:sz w:val="28"/>
          <w:szCs w:val="28"/>
        </w:rPr>
      </w:pPr>
      <w:r w:rsidRPr="008D7986">
        <w:rPr>
          <w:rFonts w:ascii="Times New Roman" w:hAnsi="Times New Roman" w:cs="Times New Roman"/>
          <w:sz w:val="28"/>
          <w:szCs w:val="28"/>
        </w:rPr>
        <w:t>деятельность клиента, связанная с производством оружия, или посредническая деятельность клиента по реализации оружия;</w:t>
      </w:r>
    </w:p>
    <w:p w14:paraId="3B122C3E" w14:textId="7008D4FF" w:rsidR="00A53B4D" w:rsidRPr="008D7986" w:rsidRDefault="00A53B4D">
      <w:pPr>
        <w:rPr>
          <w:rFonts w:ascii="Times New Roman" w:hAnsi="Times New Roman" w:cs="Times New Roman"/>
          <w:sz w:val="28"/>
          <w:szCs w:val="28"/>
        </w:rPr>
      </w:pPr>
      <w:bookmarkStart w:id="6" w:name="sub_2314"/>
      <w:r w:rsidRPr="008D7986">
        <w:rPr>
          <w:rFonts w:ascii="Times New Roman" w:hAnsi="Times New Roman" w:cs="Times New Roman"/>
          <w:sz w:val="28"/>
          <w:szCs w:val="28"/>
        </w:rPr>
        <w:t xml:space="preserve">совершение клиентом операций, являющихся </w:t>
      </w:r>
      <w:r w:rsidRPr="00E83A24">
        <w:rPr>
          <w:rFonts w:ascii="Times New Roman" w:hAnsi="Times New Roman" w:cs="Times New Roman"/>
          <w:sz w:val="28"/>
          <w:szCs w:val="28"/>
        </w:rPr>
        <w:t>в соответствии с ПВК по ПОД/ФТ операциями повышенной степени</w:t>
      </w:r>
      <w:r w:rsidRPr="008D7986">
        <w:rPr>
          <w:rFonts w:ascii="Times New Roman" w:hAnsi="Times New Roman" w:cs="Times New Roman"/>
          <w:sz w:val="28"/>
          <w:szCs w:val="28"/>
        </w:rPr>
        <w:t xml:space="preserve"> (уровня) риска легализации (отмывания) доходов, полученных преступным путем, и финансирования терроризма, либо </w:t>
      </w:r>
      <w:r w:rsidR="006B5713" w:rsidRPr="00E05F87">
        <w:rPr>
          <w:sz w:val="28"/>
          <w:szCs w:val="28"/>
        </w:rPr>
        <w:t>операций (сделок), содержащих признаки, указывающие на необычный характер операции (сделки)</w:t>
      </w:r>
      <w:r w:rsidRPr="0006243E">
        <w:rPr>
          <w:rFonts w:ascii="Times New Roman" w:hAnsi="Times New Roman" w:cs="Times New Roman"/>
          <w:sz w:val="28"/>
          <w:szCs w:val="28"/>
        </w:rPr>
        <w:t>,</w:t>
      </w:r>
      <w:r w:rsidRPr="008D7986">
        <w:rPr>
          <w:rFonts w:ascii="Times New Roman" w:hAnsi="Times New Roman" w:cs="Times New Roman"/>
          <w:sz w:val="28"/>
          <w:szCs w:val="28"/>
        </w:rPr>
        <w:t xml:space="preserve"> по которым было принято решение о направлении сведений о них в </w:t>
      </w:r>
      <w:r w:rsidR="007357AD">
        <w:rPr>
          <w:rFonts w:ascii="Times New Roman" w:hAnsi="Times New Roman" w:cs="Times New Roman"/>
          <w:sz w:val="28"/>
          <w:szCs w:val="28"/>
        </w:rPr>
        <w:t>У</w:t>
      </w:r>
      <w:r w:rsidRPr="008D7986">
        <w:rPr>
          <w:rFonts w:ascii="Times New Roman" w:hAnsi="Times New Roman" w:cs="Times New Roman"/>
          <w:sz w:val="28"/>
          <w:szCs w:val="28"/>
        </w:rPr>
        <w:t>полномоченный орган;</w:t>
      </w:r>
    </w:p>
    <w:p w14:paraId="43381B91" w14:textId="77777777" w:rsidR="00A53B4D" w:rsidRPr="008D7986" w:rsidRDefault="00A53B4D">
      <w:pPr>
        <w:rPr>
          <w:rFonts w:ascii="Times New Roman" w:hAnsi="Times New Roman" w:cs="Times New Roman"/>
          <w:sz w:val="28"/>
          <w:szCs w:val="28"/>
        </w:rPr>
      </w:pPr>
      <w:bookmarkStart w:id="7" w:name="sub_2316"/>
      <w:bookmarkEnd w:id="6"/>
      <w:r w:rsidRPr="008D7986">
        <w:rPr>
          <w:rFonts w:ascii="Times New Roman" w:hAnsi="Times New Roman" w:cs="Times New Roman"/>
          <w:sz w:val="28"/>
          <w:szCs w:val="28"/>
        </w:rPr>
        <w:t xml:space="preserve">совершение иных операций, самостоятельно определяемых </w:t>
      </w:r>
      <w:r>
        <w:rPr>
          <w:rFonts w:ascii="Times New Roman" w:hAnsi="Times New Roman" w:cs="Times New Roman"/>
          <w:sz w:val="28"/>
          <w:szCs w:val="28"/>
        </w:rPr>
        <w:t>подведомственным субъектом</w:t>
      </w:r>
      <w:r w:rsidRPr="008D7986">
        <w:rPr>
          <w:rFonts w:ascii="Times New Roman" w:hAnsi="Times New Roman" w:cs="Times New Roman"/>
          <w:sz w:val="28"/>
          <w:szCs w:val="28"/>
        </w:rPr>
        <w:t>.</w:t>
      </w:r>
    </w:p>
    <w:bookmarkEnd w:id="7"/>
    <w:p w14:paraId="5A8669BC" w14:textId="77777777" w:rsidR="00A53B4D" w:rsidRPr="008D7986" w:rsidRDefault="00A53B4D">
      <w:pPr>
        <w:rPr>
          <w:rFonts w:ascii="Times New Roman" w:hAnsi="Times New Roman" w:cs="Times New Roman"/>
          <w:sz w:val="28"/>
          <w:szCs w:val="28"/>
        </w:rPr>
      </w:pPr>
    </w:p>
    <w:p w14:paraId="719325E3" w14:textId="77777777" w:rsidR="00A53B4D" w:rsidRDefault="00A53B4D">
      <w:pPr>
        <w:jc w:val="right"/>
        <w:rPr>
          <w:rFonts w:ascii="Times New Roman" w:hAnsi="Times New Roman" w:cs="Times New Roman"/>
          <w:sz w:val="28"/>
          <w:szCs w:val="28"/>
        </w:rPr>
      </w:pPr>
      <w:bookmarkStart w:id="8" w:name="sub_3138"/>
      <w:bookmarkEnd w:id="8"/>
    </w:p>
    <w:p w14:paraId="35217871" w14:textId="77777777" w:rsidR="00A53B4D" w:rsidRDefault="00A53B4D">
      <w:pPr>
        <w:tabs>
          <w:tab w:val="left" w:pos="7088"/>
        </w:tabs>
        <w:ind w:firstLine="0"/>
        <w:rPr>
          <w:rFonts w:ascii="Times New Roman" w:hAnsi="Times New Roman" w:cs="Times New Roman"/>
          <w:b/>
          <w:bCs/>
          <w:sz w:val="28"/>
          <w:szCs w:val="28"/>
        </w:rPr>
      </w:pPr>
      <w:r>
        <w:rPr>
          <w:rFonts w:ascii="Times New Roman" w:hAnsi="Times New Roman" w:cs="Times New Roman"/>
          <w:b/>
          <w:bCs/>
          <w:sz w:val="28"/>
          <w:szCs w:val="28"/>
        </w:rPr>
        <w:t xml:space="preserve">Директор Департамента </w:t>
      </w:r>
    </w:p>
    <w:p w14:paraId="60164E02" w14:textId="77777777" w:rsidR="00A53B4D" w:rsidRPr="008D7986" w:rsidRDefault="00A53B4D">
      <w:pPr>
        <w:tabs>
          <w:tab w:val="left" w:pos="7088"/>
        </w:tabs>
        <w:ind w:firstLine="0"/>
        <w:rPr>
          <w:rStyle w:val="a3"/>
          <w:rFonts w:ascii="Times New Roman" w:hAnsi="Times New Roman" w:cs="Times New Roman"/>
          <w:b w:val="0"/>
          <w:bCs w:val="0"/>
          <w:color w:val="auto"/>
          <w:sz w:val="28"/>
          <w:szCs w:val="28"/>
        </w:rPr>
      </w:pPr>
      <w:r>
        <w:rPr>
          <w:rFonts w:ascii="Times New Roman" w:hAnsi="Times New Roman" w:cs="Times New Roman"/>
          <w:b/>
          <w:bCs/>
          <w:sz w:val="28"/>
          <w:szCs w:val="28"/>
        </w:rPr>
        <w:t>финансового мониторинга</w:t>
      </w:r>
      <w:r>
        <w:rPr>
          <w:rFonts w:ascii="Times New Roman" w:hAnsi="Times New Roman" w:cs="Times New Roman"/>
          <w:b/>
          <w:bCs/>
          <w:sz w:val="28"/>
          <w:szCs w:val="28"/>
        </w:rPr>
        <w:tab/>
        <w:t>В.А. Лотохова</w:t>
      </w:r>
    </w:p>
    <w:p w14:paraId="52BB7D17" w14:textId="77777777" w:rsidR="004B7F1E" w:rsidRDefault="004B7F1E"/>
    <w:sectPr w:rsidR="004B7F1E" w:rsidSect="0033296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7B5F1" w14:textId="77777777" w:rsidR="00055540" w:rsidRDefault="00055540" w:rsidP="00C34A0E">
      <w:r>
        <w:separator/>
      </w:r>
    </w:p>
  </w:endnote>
  <w:endnote w:type="continuationSeparator" w:id="0">
    <w:p w14:paraId="3C210E8D" w14:textId="77777777" w:rsidR="00055540" w:rsidRDefault="00055540" w:rsidP="00C3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CF13E" w14:textId="77777777" w:rsidR="00055540" w:rsidRDefault="00055540" w:rsidP="00C34A0E">
      <w:r>
        <w:separator/>
      </w:r>
    </w:p>
  </w:footnote>
  <w:footnote w:type="continuationSeparator" w:id="0">
    <w:p w14:paraId="4A11BB85" w14:textId="77777777" w:rsidR="00055540" w:rsidRDefault="00055540" w:rsidP="00C3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719406"/>
      <w:docPartObj>
        <w:docPartGallery w:val="Page Numbers (Top of Page)"/>
        <w:docPartUnique/>
      </w:docPartObj>
    </w:sdtPr>
    <w:sdtEndPr/>
    <w:sdtContent>
      <w:p w14:paraId="79E8D2F7" w14:textId="77777777" w:rsidR="00C34A0E" w:rsidRDefault="00C34A0E" w:rsidP="00C34A0E">
        <w:pPr>
          <w:pStyle w:val="a7"/>
          <w:ind w:firstLine="0"/>
          <w:jc w:val="center"/>
        </w:pPr>
        <w:r>
          <w:fldChar w:fldCharType="begin"/>
        </w:r>
        <w:r>
          <w:instrText>PAGE   \* MERGEFORMAT</w:instrText>
        </w:r>
        <w:r>
          <w:fldChar w:fldCharType="separate"/>
        </w:r>
        <w:r w:rsidR="00070496">
          <w:rPr>
            <w:noProof/>
          </w:rPr>
          <w:t>3</w:t>
        </w:r>
        <w:r>
          <w:fldChar w:fldCharType="end"/>
        </w:r>
      </w:p>
    </w:sdtContent>
  </w:sdt>
  <w:p w14:paraId="73F25114" w14:textId="4DF8591C" w:rsidR="00C34A0E" w:rsidRPr="0033296B" w:rsidRDefault="00C34A0E" w:rsidP="0033296B">
    <w:pPr>
      <w:pStyle w:val="a7"/>
      <w:jc w:val="right"/>
      <w:rPr>
        <w:sz w:val="28"/>
        <w:szCs w:val="28"/>
      </w:rPr>
    </w:pPr>
    <w:r w:rsidRPr="0033296B">
      <w:rPr>
        <w:sz w:val="28"/>
        <w:szCs w:val="28"/>
      </w:rPr>
      <w:t>Продолжение приложения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4D"/>
    <w:rsid w:val="00055540"/>
    <w:rsid w:val="0006243E"/>
    <w:rsid w:val="00070496"/>
    <w:rsid w:val="0009534E"/>
    <w:rsid w:val="000E7976"/>
    <w:rsid w:val="0011792E"/>
    <w:rsid w:val="001B2C83"/>
    <w:rsid w:val="00261A61"/>
    <w:rsid w:val="00272445"/>
    <w:rsid w:val="002D72BA"/>
    <w:rsid w:val="0033296B"/>
    <w:rsid w:val="00336E73"/>
    <w:rsid w:val="003F29A2"/>
    <w:rsid w:val="00414BDA"/>
    <w:rsid w:val="00482F62"/>
    <w:rsid w:val="004A2599"/>
    <w:rsid w:val="004B7F1E"/>
    <w:rsid w:val="004F1542"/>
    <w:rsid w:val="005F4537"/>
    <w:rsid w:val="00627362"/>
    <w:rsid w:val="00651721"/>
    <w:rsid w:val="006A7AA9"/>
    <w:rsid w:val="006B5713"/>
    <w:rsid w:val="007357AD"/>
    <w:rsid w:val="0074137A"/>
    <w:rsid w:val="00751844"/>
    <w:rsid w:val="00787D79"/>
    <w:rsid w:val="0079477A"/>
    <w:rsid w:val="007A1580"/>
    <w:rsid w:val="00913BD5"/>
    <w:rsid w:val="00991229"/>
    <w:rsid w:val="00A0768A"/>
    <w:rsid w:val="00A53B4D"/>
    <w:rsid w:val="00AF493A"/>
    <w:rsid w:val="00B41EAB"/>
    <w:rsid w:val="00BB3750"/>
    <w:rsid w:val="00BF67D6"/>
    <w:rsid w:val="00C34A0E"/>
    <w:rsid w:val="00D83328"/>
    <w:rsid w:val="00D91D5D"/>
    <w:rsid w:val="00D91E99"/>
    <w:rsid w:val="00E05F87"/>
    <w:rsid w:val="00E83A24"/>
    <w:rsid w:val="00E8575D"/>
    <w:rsid w:val="00EA6D12"/>
    <w:rsid w:val="00F63008"/>
    <w:rsid w:val="00F64A93"/>
    <w:rsid w:val="00F85C74"/>
    <w:rsid w:val="00FA53C3"/>
    <w:rsid w:val="00FD5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1DFF"/>
  <w15:chartTrackingRefBased/>
  <w15:docId w15:val="{C2FDE1A8-7914-4548-B862-B60CD7C5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4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53B4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3B4D"/>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53B4D"/>
    <w:rPr>
      <w:b/>
      <w:bCs/>
      <w:color w:val="26282F"/>
    </w:rPr>
  </w:style>
  <w:style w:type="paragraph" w:customStyle="1" w:styleId="a4">
    <w:name w:val="Подзаголовок для информации об изменениях"/>
    <w:basedOn w:val="a"/>
    <w:next w:val="a"/>
    <w:uiPriority w:val="99"/>
    <w:rsid w:val="00A53B4D"/>
    <w:rPr>
      <w:b/>
      <w:bCs/>
      <w:color w:val="353842"/>
      <w:sz w:val="20"/>
      <w:szCs w:val="20"/>
    </w:rPr>
  </w:style>
  <w:style w:type="paragraph" w:styleId="a5">
    <w:name w:val="Balloon Text"/>
    <w:basedOn w:val="a"/>
    <w:link w:val="a6"/>
    <w:uiPriority w:val="99"/>
    <w:semiHidden/>
    <w:unhideWhenUsed/>
    <w:rsid w:val="0074137A"/>
    <w:rPr>
      <w:rFonts w:ascii="Segoe UI" w:hAnsi="Segoe UI" w:cs="Segoe UI"/>
      <w:sz w:val="18"/>
      <w:szCs w:val="18"/>
    </w:rPr>
  </w:style>
  <w:style w:type="character" w:customStyle="1" w:styleId="a6">
    <w:name w:val="Текст выноски Знак"/>
    <w:basedOn w:val="a0"/>
    <w:link w:val="a5"/>
    <w:uiPriority w:val="99"/>
    <w:semiHidden/>
    <w:rsid w:val="0074137A"/>
    <w:rPr>
      <w:rFonts w:ascii="Segoe UI" w:eastAsiaTheme="minorEastAsia" w:hAnsi="Segoe UI" w:cs="Segoe UI"/>
      <w:sz w:val="18"/>
      <w:szCs w:val="18"/>
      <w:lang w:eastAsia="ru-RU"/>
    </w:rPr>
  </w:style>
  <w:style w:type="paragraph" w:styleId="a7">
    <w:name w:val="header"/>
    <w:basedOn w:val="a"/>
    <w:link w:val="a8"/>
    <w:uiPriority w:val="99"/>
    <w:unhideWhenUsed/>
    <w:rsid w:val="00C34A0E"/>
    <w:pPr>
      <w:tabs>
        <w:tab w:val="center" w:pos="4677"/>
        <w:tab w:val="right" w:pos="9355"/>
      </w:tabs>
    </w:pPr>
  </w:style>
  <w:style w:type="character" w:customStyle="1" w:styleId="a8">
    <w:name w:val="Верхний колонтитул Знак"/>
    <w:basedOn w:val="a0"/>
    <w:link w:val="a7"/>
    <w:uiPriority w:val="99"/>
    <w:rsid w:val="00C34A0E"/>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C34A0E"/>
    <w:pPr>
      <w:tabs>
        <w:tab w:val="center" w:pos="4677"/>
        <w:tab w:val="right" w:pos="9355"/>
      </w:tabs>
    </w:pPr>
  </w:style>
  <w:style w:type="character" w:customStyle="1" w:styleId="aa">
    <w:name w:val="Нижний колонтитул Знак"/>
    <w:basedOn w:val="a0"/>
    <w:link w:val="a9"/>
    <w:uiPriority w:val="99"/>
    <w:rsid w:val="00C34A0E"/>
    <w:rPr>
      <w:rFonts w:ascii="Times New Roman CYR" w:eastAsiaTheme="minorEastAsia" w:hAnsi="Times New Roman CYR" w:cs="Times New Roman CYR"/>
      <w:sz w:val="24"/>
      <w:szCs w:val="24"/>
      <w:lang w:eastAsia="ru-RU"/>
    </w:rPr>
  </w:style>
  <w:style w:type="character" w:styleId="ab">
    <w:name w:val="annotation reference"/>
    <w:basedOn w:val="a0"/>
    <w:uiPriority w:val="99"/>
    <w:semiHidden/>
    <w:unhideWhenUsed/>
    <w:rsid w:val="0006243E"/>
    <w:rPr>
      <w:sz w:val="16"/>
      <w:szCs w:val="16"/>
    </w:rPr>
  </w:style>
  <w:style w:type="paragraph" w:styleId="ac">
    <w:name w:val="annotation text"/>
    <w:basedOn w:val="a"/>
    <w:link w:val="ad"/>
    <w:uiPriority w:val="99"/>
    <w:semiHidden/>
    <w:unhideWhenUsed/>
    <w:rsid w:val="0006243E"/>
    <w:rPr>
      <w:sz w:val="20"/>
      <w:szCs w:val="20"/>
    </w:rPr>
  </w:style>
  <w:style w:type="character" w:customStyle="1" w:styleId="ad">
    <w:name w:val="Текст примечания Знак"/>
    <w:basedOn w:val="a0"/>
    <w:link w:val="ac"/>
    <w:uiPriority w:val="99"/>
    <w:semiHidden/>
    <w:rsid w:val="0006243E"/>
    <w:rPr>
      <w:rFonts w:ascii="Times New Roman CYR" w:eastAsiaTheme="minorEastAsia" w:hAnsi="Times New Roman CYR" w:cs="Times New Roman CYR"/>
      <w:sz w:val="20"/>
      <w:szCs w:val="20"/>
      <w:lang w:eastAsia="ru-RU"/>
    </w:rPr>
  </w:style>
  <w:style w:type="paragraph" w:styleId="ae">
    <w:name w:val="annotation subject"/>
    <w:basedOn w:val="ac"/>
    <w:next w:val="ac"/>
    <w:link w:val="af"/>
    <w:uiPriority w:val="99"/>
    <w:semiHidden/>
    <w:unhideWhenUsed/>
    <w:rsid w:val="0006243E"/>
    <w:rPr>
      <w:b/>
      <w:bCs/>
    </w:rPr>
  </w:style>
  <w:style w:type="character" w:customStyle="1" w:styleId="af">
    <w:name w:val="Тема примечания Знак"/>
    <w:basedOn w:val="ad"/>
    <w:link w:val="ae"/>
    <w:uiPriority w:val="99"/>
    <w:semiHidden/>
    <w:rsid w:val="0006243E"/>
    <w:rPr>
      <w:rFonts w:ascii="Times New Roman CYR" w:eastAsiaTheme="minorEastAsia" w:hAnsi="Times New Roman CYR" w:cs="Times New Roman CYR"/>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Харченко</dc:creator>
  <cp:keywords/>
  <dc:description/>
  <cp:lastModifiedBy>Валерия Левченко</cp:lastModifiedBy>
  <cp:revision>18</cp:revision>
  <cp:lastPrinted>2021-11-29T07:51:00Z</cp:lastPrinted>
  <dcterms:created xsi:type="dcterms:W3CDTF">2021-03-03T08:54:00Z</dcterms:created>
  <dcterms:modified xsi:type="dcterms:W3CDTF">2021-11-29T07:54:00Z</dcterms:modified>
</cp:coreProperties>
</file>