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5132" w14:textId="77777777" w:rsidR="00653748" w:rsidRPr="00532947" w:rsidRDefault="00653748" w:rsidP="007E3CF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6D4D54B8" w14:textId="6A585803" w:rsidR="00CF7A6B" w:rsidRDefault="00653748" w:rsidP="007E3CFD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B749D8">
        <w:rPr>
          <w:rFonts w:ascii="Times New Roman" w:hAnsi="Times New Roman"/>
          <w:sz w:val="28"/>
          <w:szCs w:val="28"/>
        </w:rPr>
        <w:t xml:space="preserve">микрофинансовых организаций </w:t>
      </w:r>
    </w:p>
    <w:p w14:paraId="68F6FF43" w14:textId="4AB81A31" w:rsidR="00653748" w:rsidRDefault="00653748" w:rsidP="007E3CFD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37D759B5" w14:textId="636A827C" w:rsidR="00B76377" w:rsidRDefault="00B76377" w:rsidP="007E3CFD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</w:t>
      </w:r>
      <w:r w:rsidR="00870F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Постановления Правления Центрального Республиканского Банка </w:t>
      </w:r>
      <w:r w:rsidR="00870F51">
        <w:rPr>
          <w:rFonts w:ascii="Times New Roman" w:hAnsi="Times New Roman"/>
          <w:sz w:val="28"/>
          <w:szCs w:val="28"/>
        </w:rPr>
        <w:t>ДНР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9955A3" w14:textId="322F43AC" w:rsidR="00B76377" w:rsidRPr="00532947" w:rsidRDefault="00870F51" w:rsidP="007E3CFD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hyperlink r:id="rId8" w:anchor="0007-194-20220630-44" w:history="1">
        <w:r w:rsidR="00DA7E32" w:rsidRPr="00870F51">
          <w:rPr>
            <w:rStyle w:val="aff3"/>
            <w:rFonts w:ascii="Times New Roman" w:hAnsi="Times New Roman"/>
            <w:sz w:val="28"/>
            <w:szCs w:val="28"/>
          </w:rPr>
          <w:t xml:space="preserve">от </w:t>
        </w:r>
        <w:r w:rsidRPr="00870F51">
          <w:rPr>
            <w:rStyle w:val="aff3"/>
            <w:rFonts w:ascii="Times New Roman" w:hAnsi="Times New Roman"/>
            <w:sz w:val="28"/>
            <w:szCs w:val="28"/>
          </w:rPr>
          <w:t>30.06.</w:t>
        </w:r>
        <w:r w:rsidR="00DA7E32" w:rsidRPr="00870F51">
          <w:rPr>
            <w:rStyle w:val="aff3"/>
            <w:rFonts w:ascii="Times New Roman" w:hAnsi="Times New Roman"/>
            <w:sz w:val="28"/>
            <w:szCs w:val="28"/>
          </w:rPr>
          <w:t xml:space="preserve">2022 г. № </w:t>
        </w:r>
        <w:r w:rsidR="00456CEF" w:rsidRPr="00870F51">
          <w:rPr>
            <w:rStyle w:val="aff3"/>
            <w:rFonts w:ascii="Times New Roman" w:hAnsi="Times New Roman"/>
            <w:sz w:val="28"/>
            <w:szCs w:val="28"/>
          </w:rPr>
          <w:t>194</w:t>
        </w:r>
      </w:hyperlink>
      <w:bookmarkStart w:id="0" w:name="_GoBack"/>
      <w:bookmarkEnd w:id="0"/>
      <w:r w:rsidR="00B7637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EE4217" w14:textId="77777777" w:rsidR="00E07ED2" w:rsidRDefault="00E07ED2" w:rsidP="00E07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425C68F5" w14:textId="77777777" w:rsidR="00A112E0" w:rsidRDefault="00A112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142B59" w14:textId="77777777" w:rsidR="007348E6" w:rsidRDefault="007348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1A0E1D" w14:textId="6CA9815A" w:rsidR="00653748" w:rsidRPr="007348E6" w:rsidRDefault="002F78F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8E6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7348E6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798B1C2C" w:rsidR="00653748" w:rsidRDefault="008602E1" w:rsidP="007E3CFD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o48"/>
      <w:bookmarkEnd w:id="1"/>
      <w:r>
        <w:rPr>
          <w:rFonts w:ascii="Times New Roman" w:hAnsi="Times New Roman"/>
          <w:sz w:val="28"/>
          <w:szCs w:val="28"/>
        </w:rPr>
        <w:t xml:space="preserve">к </w:t>
      </w:r>
      <w:r w:rsidR="002F2984" w:rsidRPr="002F2984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="002F2984" w:rsidRPr="002F2984">
        <w:rPr>
          <w:rFonts w:ascii="Times New Roman" w:hAnsi="Times New Roman"/>
          <w:sz w:val="28"/>
          <w:szCs w:val="28"/>
        </w:rPr>
        <w:t>, единолично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</w:t>
      </w:r>
      <w:r w:rsidR="002F2984"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б</w:t>
      </w:r>
      <w:r w:rsidR="002F2984" w:rsidRPr="002F2984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 xml:space="preserve">Микрофинансовой организации, </w:t>
      </w:r>
      <w:r>
        <w:rPr>
          <w:rFonts w:ascii="Times New Roman" w:hAnsi="Times New Roman"/>
          <w:sz w:val="28"/>
          <w:szCs w:val="28"/>
        </w:rPr>
        <w:t>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676A46EA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>могут быть дееспособные физические лица, отвечающие 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3978FD3C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2" w:name="o49"/>
      <w:bookmarkEnd w:id="2"/>
    </w:p>
    <w:p w14:paraId="166272C1" w14:textId="4728E93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высшее образование </w:t>
      </w:r>
      <w:r w:rsidR="00842A02" w:rsidRPr="00842A02">
        <w:rPr>
          <w:rFonts w:ascii="Times New Roman" w:eastAsia="Calibri" w:hAnsi="Times New Roman" w:cs="Times New Roman"/>
          <w:sz w:val="28"/>
          <w:szCs w:val="28"/>
        </w:rPr>
        <w:t>профессионально-квалификационного</w:t>
      </w:r>
      <w:r w:rsidR="00842A02">
        <w:rPr>
          <w:rFonts w:ascii="Times New Roman" w:hAnsi="Times New Roman"/>
          <w:sz w:val="28"/>
          <w:szCs w:val="28"/>
        </w:rPr>
        <w:t xml:space="preserve"> </w:t>
      </w:r>
      <w:r w:rsidR="006759FF">
        <w:rPr>
          <w:rFonts w:ascii="Times New Roman" w:hAnsi="Times New Roman"/>
          <w:sz w:val="28"/>
          <w:szCs w:val="28"/>
        </w:rPr>
        <w:t>уровня</w:t>
      </w:r>
      <w:r w:rsidRPr="00532947">
        <w:rPr>
          <w:rFonts w:ascii="Times New Roman" w:hAnsi="Times New Roman"/>
          <w:sz w:val="28"/>
          <w:szCs w:val="28"/>
        </w:rPr>
        <w:t xml:space="preserve"> специалит</w:t>
      </w:r>
      <w:r w:rsidR="00842A02">
        <w:rPr>
          <w:rFonts w:ascii="Times New Roman" w:hAnsi="Times New Roman"/>
          <w:sz w:val="28"/>
          <w:szCs w:val="28"/>
        </w:rPr>
        <w:t>ет</w:t>
      </w:r>
      <w:r w:rsidR="006759FF">
        <w:rPr>
          <w:rFonts w:ascii="Times New Roman" w:hAnsi="Times New Roman"/>
          <w:sz w:val="28"/>
          <w:szCs w:val="28"/>
        </w:rPr>
        <w:t>/</w:t>
      </w:r>
      <w:r w:rsidRPr="00532947">
        <w:rPr>
          <w:rFonts w:ascii="Times New Roman" w:hAnsi="Times New Roman"/>
          <w:sz w:val="28"/>
          <w:szCs w:val="28"/>
        </w:rPr>
        <w:t>магистр</w:t>
      </w:r>
      <w:r w:rsidR="00842A02">
        <w:rPr>
          <w:rFonts w:ascii="Times New Roman" w:hAnsi="Times New Roman"/>
          <w:sz w:val="28"/>
          <w:szCs w:val="28"/>
        </w:rPr>
        <w:t>атур</w:t>
      </w:r>
      <w:r w:rsidRPr="00532947">
        <w:rPr>
          <w:rFonts w:ascii="Times New Roman" w:hAnsi="Times New Roman"/>
          <w:sz w:val="28"/>
          <w:szCs w:val="28"/>
        </w:rPr>
        <w:t>а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42A02">
        <w:rPr>
          <w:rFonts w:ascii="Times New Roman" w:eastAsia="Calibri" w:hAnsi="Times New Roman" w:cs="Times New Roman"/>
          <w:sz w:val="28"/>
          <w:szCs w:val="28"/>
        </w:rPr>
        <w:t>,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Pr="00532947">
        <w:rPr>
          <w:rFonts w:ascii="Times New Roman" w:hAnsi="Times New Roman"/>
          <w:sz w:val="28"/>
          <w:szCs w:val="28"/>
        </w:rPr>
        <w:t>;</w:t>
      </w:r>
      <w:bookmarkStart w:id="3" w:name="o50"/>
      <w:bookmarkEnd w:id="3"/>
    </w:p>
    <w:p w14:paraId="59D91BB8" w14:textId="325AA22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</w:t>
      </w:r>
      <w:r w:rsidR="006759FF">
        <w:rPr>
          <w:rFonts w:ascii="Times New Roman" w:hAnsi="Times New Roman"/>
          <w:sz w:val="28"/>
          <w:szCs w:val="28"/>
        </w:rPr>
        <w:t xml:space="preserve">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в том числе опыт руководящей работы не менее трех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532947">
        <w:rPr>
          <w:rFonts w:ascii="Times New Roman" w:hAnsi="Times New Roman"/>
          <w:sz w:val="28"/>
          <w:szCs w:val="28"/>
        </w:rPr>
        <w:lastRenderedPageBreak/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7EB106F5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B749D8" w:rsidRPr="00532947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6759F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6759FF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4730776" w14:textId="7F02534B" w:rsidR="00653748" w:rsidRPr="00532947" w:rsidRDefault="00B85479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</w:t>
      </w:r>
      <w:r w:rsidRPr="00B85479">
        <w:rPr>
          <w:rFonts w:ascii="Times New Roman" w:eastAsia="Calibri" w:hAnsi="Times New Roman" w:cs="Times New Roman"/>
          <w:sz w:val="28"/>
          <w:szCs w:val="28"/>
        </w:rPr>
        <w:t>бакалавр</w:t>
      </w:r>
      <w:r w:rsidR="00842A02">
        <w:rPr>
          <w:rFonts w:ascii="Times New Roman" w:eastAsia="Calibri" w:hAnsi="Times New Roman" w:cs="Times New Roman"/>
          <w:sz w:val="28"/>
          <w:szCs w:val="28"/>
        </w:rPr>
        <w:t>иат по специальности</w:t>
      </w:r>
      <w:r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42A02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4DC8F984" w14:textId="6E60BE84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842A02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1079AFE3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3C30247C" w:rsidR="00653748" w:rsidRPr="00532947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бакалавриат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E662D">
        <w:rPr>
          <w:rFonts w:ascii="Times New Roman" w:eastAsia="Calibri" w:hAnsi="Times New Roman" w:cs="Times New Roman"/>
          <w:sz w:val="28"/>
          <w:szCs w:val="28"/>
        </w:rPr>
        <w:t>,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60775E3" w14:textId="75ADFD25" w:rsidR="00653748" w:rsidRDefault="00B85479" w:rsidP="002F2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>иметь опыт руководящей работы не менее 6 месяцев (для руководителя обособленного подразделения Микрофинансовой организации)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698480" w14:textId="77777777" w:rsidR="00B85479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1DF47135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45A7AEA8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E662D">
        <w:rPr>
          <w:rFonts w:ascii="Times New Roman" w:eastAsia="Calibri" w:hAnsi="Times New Roman" w:cs="Times New Roman"/>
          <w:sz w:val="28"/>
          <w:szCs w:val="28"/>
        </w:rPr>
        <w:t>не ниже бакалавриат по специальности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E662D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6CF4322E" w:rsidR="00371EBC" w:rsidRPr="00532947" w:rsidRDefault="00B85479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иметь </w:t>
      </w:r>
      <w:r w:rsidR="008E662D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1710C16E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>иметь опыт руководящей работы не менее 6 месяцев (для должности главного бухгалтера обособленного подразделения Микрофинансовой организации)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FD079" w14:textId="77777777" w:rsidR="005F0EAD" w:rsidRPr="00532947" w:rsidRDefault="005F0EAD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7892C" w14:textId="77777777" w:rsidR="007348E6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1CE6388D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2F78F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4240C" w14:textId="77777777" w:rsidR="00A60685" w:rsidRDefault="00A60685" w:rsidP="002402BC">
      <w:pPr>
        <w:spacing w:after="0" w:line="240" w:lineRule="auto"/>
      </w:pPr>
      <w:r>
        <w:separator/>
      </w:r>
    </w:p>
  </w:endnote>
  <w:endnote w:type="continuationSeparator" w:id="0">
    <w:p w14:paraId="77A95902" w14:textId="77777777" w:rsidR="00A60685" w:rsidRDefault="00A60685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4CCB" w14:textId="77777777" w:rsidR="00A60685" w:rsidRDefault="00A60685" w:rsidP="002402BC">
      <w:pPr>
        <w:spacing w:after="0" w:line="240" w:lineRule="auto"/>
      </w:pPr>
      <w:r>
        <w:separator/>
      </w:r>
    </w:p>
  </w:footnote>
  <w:footnote w:type="continuationSeparator" w:id="0">
    <w:p w14:paraId="4B4BD458" w14:textId="77777777" w:rsidR="00A60685" w:rsidRDefault="00A60685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7E3CFD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124A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D403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4C8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047B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331C"/>
    <w:rsid w:val="00337A6A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3864"/>
    <w:rsid w:val="004463F5"/>
    <w:rsid w:val="00452617"/>
    <w:rsid w:val="00455AE8"/>
    <w:rsid w:val="00456CEF"/>
    <w:rsid w:val="00466362"/>
    <w:rsid w:val="00467A0C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1B64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754D6"/>
    <w:rsid w:val="00581994"/>
    <w:rsid w:val="00585667"/>
    <w:rsid w:val="0058751B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481C"/>
    <w:rsid w:val="005D5F4E"/>
    <w:rsid w:val="005D6CF8"/>
    <w:rsid w:val="005E2A81"/>
    <w:rsid w:val="005F0EAD"/>
    <w:rsid w:val="005F254B"/>
    <w:rsid w:val="005F344E"/>
    <w:rsid w:val="005F5320"/>
    <w:rsid w:val="0060179E"/>
    <w:rsid w:val="006054D0"/>
    <w:rsid w:val="006274DD"/>
    <w:rsid w:val="00631CD8"/>
    <w:rsid w:val="00632E93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759FF"/>
    <w:rsid w:val="006827BA"/>
    <w:rsid w:val="006831E7"/>
    <w:rsid w:val="00683C6A"/>
    <w:rsid w:val="006850D8"/>
    <w:rsid w:val="006854AF"/>
    <w:rsid w:val="00685CAB"/>
    <w:rsid w:val="00692F85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4DD6"/>
    <w:rsid w:val="00705FCB"/>
    <w:rsid w:val="007062E2"/>
    <w:rsid w:val="0072134A"/>
    <w:rsid w:val="00721E5A"/>
    <w:rsid w:val="00723F45"/>
    <w:rsid w:val="00731B50"/>
    <w:rsid w:val="007348E6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20B2"/>
    <w:rsid w:val="007C7039"/>
    <w:rsid w:val="007D58CE"/>
    <w:rsid w:val="007D6338"/>
    <w:rsid w:val="007D7994"/>
    <w:rsid w:val="007E13E6"/>
    <w:rsid w:val="007E3CFD"/>
    <w:rsid w:val="00803AAB"/>
    <w:rsid w:val="00807487"/>
    <w:rsid w:val="00807B8E"/>
    <w:rsid w:val="00821AAF"/>
    <w:rsid w:val="00824192"/>
    <w:rsid w:val="00824266"/>
    <w:rsid w:val="00824DA4"/>
    <w:rsid w:val="00827CE4"/>
    <w:rsid w:val="0083064A"/>
    <w:rsid w:val="00834044"/>
    <w:rsid w:val="008401D2"/>
    <w:rsid w:val="00842A02"/>
    <w:rsid w:val="00842EEA"/>
    <w:rsid w:val="0084423B"/>
    <w:rsid w:val="008457A6"/>
    <w:rsid w:val="008461AE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0F51"/>
    <w:rsid w:val="00871490"/>
    <w:rsid w:val="0087353D"/>
    <w:rsid w:val="008744DF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E662D"/>
    <w:rsid w:val="008F6A65"/>
    <w:rsid w:val="00902AA4"/>
    <w:rsid w:val="00911326"/>
    <w:rsid w:val="009116D9"/>
    <w:rsid w:val="00913805"/>
    <w:rsid w:val="009334C0"/>
    <w:rsid w:val="009434AF"/>
    <w:rsid w:val="009506F2"/>
    <w:rsid w:val="0095363F"/>
    <w:rsid w:val="00955DBD"/>
    <w:rsid w:val="00964332"/>
    <w:rsid w:val="009747BA"/>
    <w:rsid w:val="00981985"/>
    <w:rsid w:val="00986F26"/>
    <w:rsid w:val="00992094"/>
    <w:rsid w:val="00996479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0685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7196C"/>
    <w:rsid w:val="00B72270"/>
    <w:rsid w:val="00B72B56"/>
    <w:rsid w:val="00B734CD"/>
    <w:rsid w:val="00B749D8"/>
    <w:rsid w:val="00B76377"/>
    <w:rsid w:val="00B81E27"/>
    <w:rsid w:val="00B83021"/>
    <w:rsid w:val="00B846B4"/>
    <w:rsid w:val="00B85479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108C"/>
    <w:rsid w:val="00C734CB"/>
    <w:rsid w:val="00C83924"/>
    <w:rsid w:val="00C84EE5"/>
    <w:rsid w:val="00C85BE1"/>
    <w:rsid w:val="00C8704E"/>
    <w:rsid w:val="00C912F3"/>
    <w:rsid w:val="00C94CED"/>
    <w:rsid w:val="00C95360"/>
    <w:rsid w:val="00CA10E7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A7E32"/>
    <w:rsid w:val="00DB43E2"/>
    <w:rsid w:val="00DD1495"/>
    <w:rsid w:val="00DE0695"/>
    <w:rsid w:val="00DF3DA1"/>
    <w:rsid w:val="00DF7E8E"/>
    <w:rsid w:val="00E027AC"/>
    <w:rsid w:val="00E02BEA"/>
    <w:rsid w:val="00E03D64"/>
    <w:rsid w:val="00E03F3E"/>
    <w:rsid w:val="00E07ED2"/>
    <w:rsid w:val="00E101C4"/>
    <w:rsid w:val="00E2479E"/>
    <w:rsid w:val="00E26D60"/>
    <w:rsid w:val="00E358D3"/>
    <w:rsid w:val="00E35F90"/>
    <w:rsid w:val="00E40355"/>
    <w:rsid w:val="00E4233B"/>
    <w:rsid w:val="00E508B0"/>
    <w:rsid w:val="00E51BBD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4447"/>
    <w:rsid w:val="00F35518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97CB5"/>
    <w:rsid w:val="00FB1141"/>
    <w:rsid w:val="00FB26F8"/>
    <w:rsid w:val="00FB4FCE"/>
    <w:rsid w:val="00FC1290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3970B907-D2C0-4ED2-86AA-798EA32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07ED2"/>
    <w:pPr>
      <w:spacing w:after="0" w:line="240" w:lineRule="auto"/>
    </w:pPr>
  </w:style>
  <w:style w:type="character" w:styleId="aff3">
    <w:name w:val="Hyperlink"/>
    <w:basedOn w:val="a0"/>
    <w:uiPriority w:val="99"/>
    <w:unhideWhenUsed/>
    <w:rsid w:val="00870F51"/>
    <w:rPr>
      <w:color w:val="0000FF" w:themeColor="hyperlink"/>
      <w:u w:val="single"/>
    </w:rPr>
  </w:style>
  <w:style w:type="character" w:styleId="aff4">
    <w:name w:val="Unresolved Mention"/>
    <w:basedOn w:val="a0"/>
    <w:uiPriority w:val="99"/>
    <w:semiHidden/>
    <w:unhideWhenUsed/>
    <w:rsid w:val="00870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7-194-202206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99E6-C37C-464E-9403-FD3D13B0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Сухинин Олег Сергеевич</cp:lastModifiedBy>
  <cp:revision>9</cp:revision>
  <cp:lastPrinted>2022-06-24T13:45:00Z</cp:lastPrinted>
  <dcterms:created xsi:type="dcterms:W3CDTF">2022-04-29T09:14:00Z</dcterms:created>
  <dcterms:modified xsi:type="dcterms:W3CDTF">2022-10-04T11:38:00Z</dcterms:modified>
</cp:coreProperties>
</file>