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CF" w:rsidRPr="00617192" w:rsidRDefault="009E1FCF" w:rsidP="00005530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192" w:rsidRPr="00617192">
        <w:rPr>
          <w:rFonts w:ascii="Times New Roman" w:hAnsi="Times New Roman" w:cs="Times New Roman"/>
          <w:sz w:val="24"/>
          <w:szCs w:val="24"/>
        </w:rPr>
        <w:t>5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B72057" w:rsidRPr="00B72057" w:rsidRDefault="00B72057" w:rsidP="00B72057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B72057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gramStart"/>
      <w:r w:rsidRPr="00B7205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B7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57" w:rsidRPr="001323D1" w:rsidRDefault="00B72057" w:rsidP="00B72057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B72057">
        <w:rPr>
          <w:rFonts w:ascii="Times New Roman" w:hAnsi="Times New Roman" w:cs="Times New Roman"/>
          <w:sz w:val="24"/>
          <w:szCs w:val="24"/>
        </w:rPr>
        <w:t xml:space="preserve">казначейства по </w:t>
      </w:r>
      <w:proofErr w:type="gramStart"/>
      <w:r w:rsidRPr="00B72057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B7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57" w:rsidRPr="001323D1" w:rsidRDefault="00B72057" w:rsidP="00B72057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B72057">
        <w:rPr>
          <w:rFonts w:ascii="Times New Roman" w:hAnsi="Times New Roman" w:cs="Times New Roman"/>
          <w:sz w:val="24"/>
          <w:szCs w:val="24"/>
        </w:rPr>
        <w:t xml:space="preserve">Народной Республике </w:t>
      </w:r>
      <w:proofErr w:type="gramStart"/>
      <w:r w:rsidR="009E1FCF" w:rsidRPr="009E1FC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72057" w:rsidRPr="00B72057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и денежных обязательств </w:t>
      </w:r>
    </w:p>
    <w:p w:rsidR="00B72057" w:rsidRPr="00B72057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4351E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4351E3" w:rsidRPr="004351E3">
        <w:rPr>
          <w:rFonts w:ascii="Times New Roman" w:hAnsi="Times New Roman" w:cs="Times New Roman"/>
          <w:sz w:val="24"/>
          <w:szCs w:val="24"/>
        </w:rPr>
        <w:t>7</w:t>
      </w:r>
      <w:r w:rsidRPr="004351E3">
        <w:rPr>
          <w:rFonts w:ascii="Times New Roman" w:hAnsi="Times New Roman" w:cs="Times New Roman"/>
          <w:sz w:val="24"/>
          <w:szCs w:val="24"/>
        </w:rPr>
        <w:t>)</w:t>
      </w:r>
    </w:p>
    <w:p w:rsidR="003250C2" w:rsidRPr="001323D1" w:rsidRDefault="003250C2" w:rsidP="00005530">
      <w:pPr>
        <w:spacing w:after="1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9C405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>ПЕРЕЧЕНЬ</w:t>
      </w:r>
    </w:p>
    <w:p w:rsidR="00C1341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 xml:space="preserve">ДОКУМЕНТОВ, НА ОСНОВАНИИ КОТОРЫХ </w:t>
      </w:r>
    </w:p>
    <w:p w:rsidR="009C405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 xml:space="preserve">ВОЗНИКАЮТ БЮДЖЕТНЫЕ ОБЯЗАТЕЛЬСТВА ПОЛУЧАТЕЛЕЙ </w:t>
      </w:r>
      <w:r w:rsidR="00C13416" w:rsidRPr="003250C2">
        <w:rPr>
          <w:rFonts w:ascii="Times New Roman" w:hAnsi="Times New Roman" w:cs="Times New Roman"/>
          <w:b/>
          <w:szCs w:val="24"/>
        </w:rPr>
        <w:t xml:space="preserve">БЮДЖЕТНЫХ </w:t>
      </w:r>
      <w:r w:rsidRPr="003250C2">
        <w:rPr>
          <w:rFonts w:ascii="Times New Roman" w:hAnsi="Times New Roman" w:cs="Times New Roman"/>
          <w:b/>
          <w:szCs w:val="24"/>
        </w:rPr>
        <w:t>СРЕДСТВ,</w:t>
      </w:r>
      <w:r w:rsidR="007652F1" w:rsidRPr="003250C2">
        <w:rPr>
          <w:rFonts w:ascii="Times New Roman" w:hAnsi="Times New Roman" w:cs="Times New Roman"/>
          <w:b/>
          <w:szCs w:val="24"/>
        </w:rPr>
        <w:t xml:space="preserve"> </w:t>
      </w:r>
      <w:r w:rsidRPr="003250C2">
        <w:rPr>
          <w:rFonts w:ascii="Times New Roman" w:hAnsi="Times New Roman" w:cs="Times New Roman"/>
          <w:b/>
          <w:szCs w:val="24"/>
        </w:rPr>
        <w:t>И ДОКУМЕНТОВ, ПОДТВЕРЖДАЮЩИХ ВОЗНИКНОВЕНИЕ ДЕНЕЖНЫХ ОБЯЗАТЕЛЬСТВ ПОЛУЧАТЕЛЕЙ</w:t>
      </w:r>
      <w:r w:rsidR="00C13416" w:rsidRPr="003250C2">
        <w:rPr>
          <w:rFonts w:ascii="Times New Roman" w:hAnsi="Times New Roman" w:cs="Times New Roman"/>
          <w:b/>
          <w:szCs w:val="24"/>
        </w:rPr>
        <w:t xml:space="preserve"> БЮДЖЕТНЫХ</w:t>
      </w:r>
      <w:r w:rsidRPr="003250C2">
        <w:rPr>
          <w:rFonts w:ascii="Times New Roman" w:hAnsi="Times New Roman" w:cs="Times New Roman"/>
          <w:b/>
          <w:szCs w:val="24"/>
        </w:rPr>
        <w:t xml:space="preserve"> СРЕДСТВ </w:t>
      </w:r>
    </w:p>
    <w:p w:rsidR="009C4056" w:rsidRPr="001323D1" w:rsidRDefault="009C4056" w:rsidP="000B0BE2">
      <w:pPr>
        <w:spacing w:after="1"/>
        <w:ind w:firstLine="709"/>
        <w:rPr>
          <w:rFonts w:ascii="Times New Roman" w:hAnsi="Times New Roman" w:cs="Times New Roman"/>
          <w:sz w:val="12"/>
          <w:szCs w:val="16"/>
        </w:rPr>
      </w:pPr>
    </w:p>
    <w:tbl>
      <w:tblPr>
        <w:tblW w:w="94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6B4E54" w:rsidRPr="00A36631" w:rsidTr="00ED375F">
        <w:trPr>
          <w:trHeight w:val="68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6B4E54" w:rsidRPr="00A36631" w:rsidTr="00ED375F">
        <w:trPr>
          <w:trHeight w:val="10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2909B8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35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2909B8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E54" w:rsidRPr="00A36631" w:rsidTr="00ED375F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43"/>
            <w:bookmarkStart w:id="3" w:name="P1337"/>
            <w:bookmarkStart w:id="4" w:name="P1344"/>
            <w:bookmarkEnd w:id="2"/>
            <w:bookmarkEnd w:id="3"/>
            <w:bookmarkEnd w:id="4"/>
            <w:r w:rsidRPr="006B4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 для обеспечения государственных нужд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24286B" w:rsidRDefault="006B4E54" w:rsidP="00851E9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1.4. </w:t>
            </w:r>
            <w:proofErr w:type="gramStart"/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(в случае осуществления авансовых платежей в соответствии с условиями государственного контракта, внесени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по госуда</w:t>
            </w:r>
            <w:r w:rsidR="0024286B">
              <w:rPr>
                <w:rFonts w:ascii="Times New Roman" w:hAnsi="Times New Roman" w:cs="Times New Roman"/>
                <w:sz w:val="24"/>
                <w:szCs w:val="24"/>
              </w:rPr>
              <w:t>рственному контракту (договору)</w:t>
            </w:r>
            <w:proofErr w:type="gramEnd"/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 (штрафа)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B4E54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7079F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 </w:t>
            </w:r>
            <w:r w:rsidR="006B4E54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бюджетных средств (далее –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государственного контракта (договора)</w:t>
            </w:r>
          </w:p>
        </w:tc>
      </w:tr>
      <w:tr w:rsidR="00BC5C35" w:rsidRPr="00A36631" w:rsidTr="00ED375F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CB5676" w:rsidRDefault="004158FD" w:rsidP="00B8368D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56"/>
            <w:bookmarkStart w:id="6" w:name="P1370"/>
            <w:bookmarkEnd w:id="5"/>
            <w:bookmarkEnd w:id="6"/>
            <w:r w:rsidRPr="00CB567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из бюджета Донецкой Народной Республики межбюджетного трансферта (далее соответственно – соглашение о предоставлении межбюджетного трансферта)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CB5676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6"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BC5C35" w:rsidRPr="00A36631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CB5676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CB5676" w:rsidRDefault="004158FD" w:rsidP="00B8368D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6">
              <w:rPr>
                <w:rFonts w:ascii="Times New Roman" w:hAnsi="Times New Roman" w:cs="Times New Roman"/>
                <w:sz w:val="24"/>
                <w:szCs w:val="24"/>
              </w:rPr>
              <w:t>2.2. 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Заявка о предоставлении межбюджетного трансферта из бюджета Донецкой Народной Республики (иной предусмотренный нормативным правовым актом документ) </w:t>
            </w:r>
            <w:r w:rsidR="000D6114" w:rsidRPr="000D6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5546BE" w:rsidRDefault="005546BE" w:rsidP="009F7745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9F7745" w:rsidRPr="009F7745" w:rsidRDefault="009F7745" w:rsidP="009F7745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5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22"/>
        <w:gridCol w:w="5078"/>
        <w:gridCol w:w="22"/>
      </w:tblGrid>
      <w:tr w:rsidR="005546BE" w:rsidRPr="00A36631" w:rsidTr="00ED375F"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E" w:rsidRPr="00A36631" w:rsidRDefault="005546BE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E" w:rsidRDefault="005546BE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C35" w:rsidRPr="00A36631" w:rsidTr="00ED375F">
        <w:tc>
          <w:tcPr>
            <w:tcW w:w="4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необходимый для оплаты денежных обязательств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документ, подтверждающий возникновение денежных обязательств получателя бюджетных средств, источником финансового обеспечения которых являются межбюджетные трансферты</w:t>
            </w:r>
          </w:p>
        </w:tc>
      </w:tr>
      <w:tr w:rsidR="00BC5C35" w:rsidRPr="00A36631" w:rsidTr="00ED375F">
        <w:tc>
          <w:tcPr>
            <w:tcW w:w="4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C5C35" w:rsidRPr="00A36631" w:rsidTr="00ED375F">
        <w:tc>
          <w:tcPr>
            <w:tcW w:w="4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CB5676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CB5676" w:rsidRDefault="004158FD" w:rsidP="00B8368D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6">
              <w:rPr>
                <w:rFonts w:ascii="Times New Roman" w:hAnsi="Times New Roman" w:cs="Times New Roman"/>
                <w:sz w:val="24"/>
                <w:szCs w:val="24"/>
              </w:rPr>
              <w:t>2.5. 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документы, подтверждающие осуществление расходов, в </w:t>
            </w:r>
            <w:proofErr w:type="gramStart"/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которых из бюджета</w:t>
            </w:r>
            <w:r w:rsidR="00B8368D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 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межбюджетные трансферты (далее – целевые расходы), иные документы, подтверждающие размер и факт поставки товаров, выполнения работ, оказания услуг на сумму целевых расходов*</w:t>
            </w:r>
          </w:p>
        </w:tc>
      </w:tr>
      <w:tr w:rsidR="00BC5C35" w:rsidRPr="00A36631" w:rsidTr="00ED375F">
        <w:tc>
          <w:tcPr>
            <w:tcW w:w="4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CB5676" w:rsidRDefault="004158FD" w:rsidP="00B8368D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="00B8368D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CB5676" w:rsidRDefault="00B14EDE" w:rsidP="00B8368D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6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Заявка о предоставлении межбюджетного трансферта из бюджета Донецкой Народной Республики (иной предусмотренный нормативным правовым актом документ) </w:t>
            </w:r>
            <w:r w:rsidR="00E71D7D" w:rsidRPr="00E71D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5C35" w:rsidRPr="00CB567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BC5C35" w:rsidRPr="00A36631" w:rsidTr="00ED375F">
        <w:tc>
          <w:tcPr>
            <w:tcW w:w="4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необходимый для оплаты денежных обязательств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документ, подтверждающий возникновение денежных обязательств получателя бюджетных средств, источником финансового обеспечения которых являются межбюджетные трансферты</w:t>
            </w:r>
          </w:p>
        </w:tc>
      </w:tr>
      <w:tr w:rsidR="00BC5C35" w:rsidRPr="00A36631" w:rsidTr="00ED375F">
        <w:tc>
          <w:tcPr>
            <w:tcW w:w="4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4158FD" w:rsidRPr="00A36631" w:rsidTr="00ED375F">
        <w:trPr>
          <w:gridAfter w:val="1"/>
          <w:wAfter w:w="22" w:type="dxa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B68" w:rsidRPr="003D2B68" w:rsidRDefault="004158FD" w:rsidP="00265D7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bookmarkStart w:id="7" w:name="P139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или физическому лицу –</w:t>
            </w:r>
            <w:r w:rsidR="00A0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предпринимателю/ физическому 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</w:t>
            </w:r>
            <w:r w:rsidR="003C4D1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Донецкой Народной </w:t>
            </w:r>
            <w:r w:rsidR="003D2B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4158FD" w:rsidRPr="00A36631" w:rsidTr="00ED375F">
        <w:trPr>
          <w:gridAfter w:val="1"/>
          <w:wAfter w:w="22" w:type="dxa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4158FD" w:rsidRPr="00A36631" w:rsidTr="00ED375F">
        <w:trPr>
          <w:gridAfter w:val="1"/>
          <w:wAfter w:w="22" w:type="dxa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4158FD" w:rsidRPr="00A36631" w:rsidTr="00ED375F">
        <w:trPr>
          <w:gridAfter w:val="1"/>
          <w:wAfter w:w="22" w:type="dxa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4158FD" w:rsidRPr="00A36631" w:rsidTr="00ED375F">
        <w:trPr>
          <w:gridAfter w:val="1"/>
          <w:wAfter w:w="22" w:type="dxa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158FD" w:rsidRPr="00A36631" w:rsidTr="00ED375F">
        <w:trPr>
          <w:gridAfter w:val="1"/>
          <w:wAfter w:w="22" w:type="dxa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</w:tbl>
    <w:p w:rsidR="003D2B68" w:rsidRDefault="003D2B68" w:rsidP="003D2B68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3D2B68" w:rsidRDefault="003D2B68" w:rsidP="003D2B68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4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A01A88" w:rsidRPr="00A36631" w:rsidTr="00ED375F"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88" w:rsidRPr="00A36631" w:rsidRDefault="003D2B68" w:rsidP="00BF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88" w:rsidRDefault="003D2B68" w:rsidP="00BF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8FD" w:rsidRPr="00A36631" w:rsidTr="00ED375F"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8FD" w:rsidRPr="00A36631" w:rsidRDefault="003C4D12" w:rsidP="003C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(далее – договор </w:t>
            </w:r>
            <w:r w:rsidR="00A01A88" w:rsidRPr="00A36631">
              <w:rPr>
                <w:rFonts w:ascii="Times New Roman" w:hAnsi="Times New Roman" w:cs="Times New Roman"/>
                <w:sz w:val="24"/>
                <w:szCs w:val="24"/>
              </w:rPr>
              <w:t>(соглашение) о предоставлении субсидии и бюджетных инвестиций юридическому лицу)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158FD" w:rsidRPr="00A36631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4158FD" w:rsidRPr="00A36631" w:rsidTr="00ED375F">
        <w:trPr>
          <w:trHeight w:val="191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158FD" w:rsidRPr="00A36631" w:rsidTr="00ED375F"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4158FD" w:rsidRPr="00FD43FD" w:rsidTr="00ED375F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41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</w:t>
            </w:r>
            <w:r w:rsidR="00C53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акт о предоставлении субсидии юридическому лицу)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9E26A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5.1. </w:t>
            </w:r>
            <w:r w:rsidR="004158FD" w:rsidRPr="00FD43FD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4158FD" w:rsidRPr="00FD43FD" w:rsidTr="00ED375F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FD43FD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9E26A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5.2. </w:t>
            </w:r>
            <w:r w:rsidR="004158FD" w:rsidRPr="00FD43F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0F47F6" w:rsidRPr="00FD43FD" w:rsidTr="00ED375F">
        <w:trPr>
          <w:trHeight w:val="651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ED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gram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Приказ (нормативный правовой акт) об утверждении </w:t>
            </w:r>
            <w:r w:rsidR="00ED37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татного расписания с расчетом годового фонда оплаты труда (иной документ, подтверждающий возникновение бюджетного </w:t>
            </w:r>
            <w:proofErr w:type="spell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="00F81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, содержащий расчет годового объема оплаты труда (денежного содержания (вознаграждения), денежного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(содержания, довольствия,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платы)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в других случаях</w:t>
            </w:r>
          </w:p>
        </w:tc>
      </w:tr>
      <w:tr w:rsidR="000F47F6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20"/>
            <w:bookmarkStart w:id="10" w:name="P1419"/>
            <w:bookmarkEnd w:id="9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ведомость </w:t>
            </w:r>
          </w:p>
        </w:tc>
      </w:tr>
      <w:tr w:rsidR="000F47F6" w:rsidRPr="00FD43FD" w:rsidTr="00ED375F">
        <w:trPr>
          <w:trHeight w:val="313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D6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6.3. </w:t>
            </w:r>
            <w:proofErr w:type="spell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6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11" w:name="_GoBack"/>
            <w:bookmarkEnd w:id="11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платежная ведомость</w:t>
            </w:r>
          </w:p>
        </w:tc>
      </w:tr>
      <w:tr w:rsidR="000F47F6" w:rsidRPr="00FD43FD" w:rsidTr="00ED375F">
        <w:trPr>
          <w:trHeight w:val="88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F6" w:rsidRPr="00FD43FD" w:rsidRDefault="000F47F6" w:rsidP="0030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</w:t>
            </w:r>
            <w:r w:rsidR="00304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с трудовым законодательством </w:t>
            </w:r>
            <w:r w:rsidR="00B873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6B4E54" w:rsidRPr="00FD43FD" w:rsidTr="00ED375F">
        <w:trPr>
          <w:trHeight w:val="34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4" w:rsidRPr="006B4E54" w:rsidRDefault="006B4E54" w:rsidP="0030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Документ, не определенный</w:t>
            </w:r>
            <w:r w:rsidR="0030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P1343" w:history="1">
              <w:proofErr w:type="spellStart"/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</w:t>
              </w:r>
              <w:proofErr w:type="gramStart"/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proofErr w:type="spellEnd"/>
              <w:r w:rsidR="003049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gramEnd"/>
              <w:r w:rsidR="003049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proofErr w:type="spellStart"/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тами</w:t>
              </w:r>
              <w:proofErr w:type="spellEnd"/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hyperlink r:id="rId9" w:anchor="P1433" w:history="1"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еречня, в соответствии с которым возникает бюджетное обязательство получателя бюджетных средств: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45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4534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6B4E54" w:rsidRPr="00FD43FD" w:rsidTr="00ED375F">
        <w:trPr>
          <w:trHeight w:val="34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6B4E54" w:rsidRPr="00FD43FD" w:rsidTr="00ED375F">
        <w:trPr>
          <w:trHeight w:val="34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6B4E54" w:rsidRPr="00FD43FD" w:rsidTr="00ED375F">
        <w:trPr>
          <w:trHeight w:val="30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</w:tbl>
    <w:p w:rsidR="004534D4" w:rsidRDefault="004534D4"/>
    <w:p w:rsidR="004534D4" w:rsidRDefault="004534D4" w:rsidP="004534D4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4534D4" w:rsidRDefault="004534D4" w:rsidP="004534D4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4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4534D4" w:rsidRPr="00FD43FD" w:rsidTr="00ED375F"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4534D4" w:rsidRPr="00FD43FD" w:rsidRDefault="004534D4" w:rsidP="0045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E54" w:rsidRPr="00FD43FD" w:rsidTr="00ED375F"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4D4" w:rsidRPr="00FD43FD" w:rsidRDefault="004534D4" w:rsidP="00F1561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закон, иной нормативный правовой 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 возникают публичные нормативные обязательства (публичные обязательства), обязательства по социальным и иным выплатам населению, обязательства перед иностранными государствами, международными организациям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4534D4" w:rsidRPr="00563AC3" w:rsidRDefault="004534D4" w:rsidP="00F1561E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договор, расчет по которому в соответствии с законодательством</w:t>
            </w:r>
            <w:r w:rsidR="003C4D1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191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Донецкой Народной Республики </w:t>
            </w:r>
            <w:r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наличными деньгами, если получателем средств бюджета в </w:t>
            </w:r>
            <w:r w:rsidR="002B76E9" w:rsidRPr="00CB5676">
              <w:rPr>
                <w:rFonts w:ascii="Times New Roman" w:hAnsi="Times New Roman" w:cs="Times New Roman"/>
                <w:sz w:val="24"/>
                <w:szCs w:val="24"/>
              </w:rPr>
              <w:t>УФК по Донецкой Народной Республике</w:t>
            </w:r>
            <w:r w:rsidRPr="00C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не направлены информация и документы по указанному договору;</w:t>
            </w:r>
          </w:p>
          <w:p w:rsidR="004534D4" w:rsidRDefault="004534D4" w:rsidP="00F86C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C3">
              <w:rPr>
                <w:rFonts w:ascii="Times New Roman" w:hAnsi="Times New Roman" w:cs="Times New Roman"/>
                <w:sz w:val="24"/>
                <w:szCs w:val="24"/>
              </w:rPr>
              <w:t>генеральные условия (условия), эмиссия и обращения</w:t>
            </w:r>
            <w:r w:rsidR="00F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ценных бумаг 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Республики;</w:t>
            </w:r>
          </w:p>
          <w:p w:rsidR="004534D4" w:rsidRPr="00A36631" w:rsidRDefault="004534D4" w:rsidP="00F1561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дств с ф</w:t>
            </w:r>
            <w:proofErr w:type="gramEnd"/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физическим лицом – предпринимателем.</w:t>
            </w:r>
          </w:p>
          <w:p w:rsidR="006B4E54" w:rsidRPr="00FD43FD" w:rsidRDefault="004534D4" w:rsidP="0045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</w:t>
            </w:r>
            <w:r w:rsidRPr="000F42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 которым возникает бюджетное обязательство получателя бюджетных средств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дств с ф</w:t>
            </w:r>
            <w:proofErr w:type="gramEnd"/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физическим лицом – предпринимателем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39"/>
            <w:bookmarkStart w:id="13" w:name="P1440"/>
            <w:bookmarkEnd w:id="12"/>
            <w:bookmarkEnd w:id="13"/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направлении в командировку, </w:t>
            </w:r>
            <w:r w:rsidR="00DA23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 прилагаемым расчетом командировочных сумм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  <w:hideMark/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B4E54" w:rsidRPr="00FD43FD" w:rsidTr="00ED375F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C10F52" w:rsidRDefault="00C10F52" w:rsidP="001F1666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66"/>
      <w:bookmarkEnd w:id="14"/>
    </w:p>
    <w:p w:rsidR="00224A21" w:rsidRDefault="00224A21" w:rsidP="001F1666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4246" w:rsidRPr="00C10F52" w:rsidRDefault="00D63381" w:rsidP="00C10F52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C10F52">
        <w:rPr>
          <w:rFonts w:ascii="Times New Roman" w:hAnsi="Times New Roman" w:cs="Times New Roman"/>
          <w:sz w:val="20"/>
          <w:szCs w:val="24"/>
        </w:rPr>
        <w:t>* </w:t>
      </w:r>
      <w:r w:rsidR="009C4056" w:rsidRPr="00C10F52">
        <w:rPr>
          <w:rFonts w:ascii="Times New Roman" w:hAnsi="Times New Roman" w:cs="Times New Roman"/>
          <w:sz w:val="20"/>
          <w:szCs w:val="24"/>
        </w:rPr>
        <w:t xml:space="preserve">При оплате денежного обязательства по перечислению межбюджетных трансфертов, предоставляемых в порядке возмещения ранее произведенных расходов </w:t>
      </w:r>
      <w:r w:rsidR="006573A0" w:rsidRPr="00C10F52">
        <w:rPr>
          <w:rFonts w:ascii="Times New Roman" w:eastAsia="Calibri" w:hAnsi="Times New Roman" w:cs="Times New Roman"/>
          <w:bCs/>
          <w:sz w:val="20"/>
          <w:szCs w:val="24"/>
        </w:rPr>
        <w:t>Донецкой Народной Республики</w:t>
      </w:r>
      <w:r w:rsidR="009C4056" w:rsidRPr="00C10F52">
        <w:rPr>
          <w:rFonts w:ascii="Times New Roman" w:hAnsi="Times New Roman" w:cs="Times New Roman"/>
          <w:sz w:val="20"/>
          <w:szCs w:val="24"/>
        </w:rPr>
        <w:t>.</w:t>
      </w:r>
    </w:p>
    <w:sectPr w:rsidR="00AE4246" w:rsidRPr="00C10F52" w:rsidSect="007652F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E4" w:rsidRDefault="008154E4" w:rsidP="007652F1">
      <w:pPr>
        <w:spacing w:after="0" w:line="240" w:lineRule="auto"/>
      </w:pPr>
      <w:r>
        <w:separator/>
      </w:r>
    </w:p>
  </w:endnote>
  <w:endnote w:type="continuationSeparator" w:id="0">
    <w:p w:rsidR="008154E4" w:rsidRDefault="008154E4" w:rsidP="0076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E4" w:rsidRDefault="008154E4" w:rsidP="007652F1">
      <w:pPr>
        <w:spacing w:after="0" w:line="240" w:lineRule="auto"/>
      </w:pPr>
      <w:r>
        <w:separator/>
      </w:r>
    </w:p>
  </w:footnote>
  <w:footnote w:type="continuationSeparator" w:id="0">
    <w:p w:rsidR="008154E4" w:rsidRDefault="008154E4" w:rsidP="0076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860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52F1" w:rsidRPr="003250C2" w:rsidRDefault="007652F1">
        <w:pPr>
          <w:pStyle w:val="a6"/>
          <w:jc w:val="center"/>
          <w:rPr>
            <w:rFonts w:ascii="Times New Roman" w:hAnsi="Times New Roman" w:cs="Times New Roman"/>
          </w:rPr>
        </w:pPr>
        <w:r w:rsidRPr="003250C2">
          <w:rPr>
            <w:rFonts w:ascii="Times New Roman" w:hAnsi="Times New Roman" w:cs="Times New Roman"/>
          </w:rPr>
          <w:fldChar w:fldCharType="begin"/>
        </w:r>
        <w:r w:rsidRPr="003250C2">
          <w:rPr>
            <w:rFonts w:ascii="Times New Roman" w:hAnsi="Times New Roman" w:cs="Times New Roman"/>
          </w:rPr>
          <w:instrText>PAGE   \* MERGEFORMAT</w:instrText>
        </w:r>
        <w:r w:rsidRPr="003250C2">
          <w:rPr>
            <w:rFonts w:ascii="Times New Roman" w:hAnsi="Times New Roman" w:cs="Times New Roman"/>
          </w:rPr>
          <w:fldChar w:fldCharType="separate"/>
        </w:r>
        <w:r w:rsidR="00D64E23">
          <w:rPr>
            <w:rFonts w:ascii="Times New Roman" w:hAnsi="Times New Roman" w:cs="Times New Roman"/>
            <w:noProof/>
          </w:rPr>
          <w:t>3</w:t>
        </w:r>
        <w:r w:rsidRPr="003250C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6"/>
    <w:rsid w:val="00005530"/>
    <w:rsid w:val="00031AF3"/>
    <w:rsid w:val="00041053"/>
    <w:rsid w:val="00051A80"/>
    <w:rsid w:val="00053047"/>
    <w:rsid w:val="00073005"/>
    <w:rsid w:val="00091DB9"/>
    <w:rsid w:val="00094923"/>
    <w:rsid w:val="000B0BE2"/>
    <w:rsid w:val="000D6114"/>
    <w:rsid w:val="000E1D06"/>
    <w:rsid w:val="000F427F"/>
    <w:rsid w:val="000F47F6"/>
    <w:rsid w:val="00106E46"/>
    <w:rsid w:val="00111942"/>
    <w:rsid w:val="001170F3"/>
    <w:rsid w:val="00123529"/>
    <w:rsid w:val="001323D1"/>
    <w:rsid w:val="00140C7E"/>
    <w:rsid w:val="00152DA4"/>
    <w:rsid w:val="00173564"/>
    <w:rsid w:val="001767DD"/>
    <w:rsid w:val="00191C36"/>
    <w:rsid w:val="00194D1F"/>
    <w:rsid w:val="001965D2"/>
    <w:rsid w:val="001A5B53"/>
    <w:rsid w:val="001B6607"/>
    <w:rsid w:val="001C46C4"/>
    <w:rsid w:val="001E3273"/>
    <w:rsid w:val="001F1666"/>
    <w:rsid w:val="002155ED"/>
    <w:rsid w:val="00224A21"/>
    <w:rsid w:val="0024148A"/>
    <w:rsid w:val="0024286B"/>
    <w:rsid w:val="00260684"/>
    <w:rsid w:val="00265D7E"/>
    <w:rsid w:val="00276321"/>
    <w:rsid w:val="002909B8"/>
    <w:rsid w:val="002B76E9"/>
    <w:rsid w:val="002C2320"/>
    <w:rsid w:val="002D2190"/>
    <w:rsid w:val="002E605F"/>
    <w:rsid w:val="0030498D"/>
    <w:rsid w:val="003250C2"/>
    <w:rsid w:val="00326167"/>
    <w:rsid w:val="00341318"/>
    <w:rsid w:val="00375FE3"/>
    <w:rsid w:val="00390C74"/>
    <w:rsid w:val="003C4D12"/>
    <w:rsid w:val="003D071B"/>
    <w:rsid w:val="003D2B68"/>
    <w:rsid w:val="003D6EAB"/>
    <w:rsid w:val="004072ED"/>
    <w:rsid w:val="004158FD"/>
    <w:rsid w:val="004351C1"/>
    <w:rsid w:val="004351E3"/>
    <w:rsid w:val="004534D4"/>
    <w:rsid w:val="00475F8C"/>
    <w:rsid w:val="004F4D6A"/>
    <w:rsid w:val="005546BE"/>
    <w:rsid w:val="00563AC3"/>
    <w:rsid w:val="005B1838"/>
    <w:rsid w:val="005B71A0"/>
    <w:rsid w:val="005F47F2"/>
    <w:rsid w:val="006053EB"/>
    <w:rsid w:val="00614CC3"/>
    <w:rsid w:val="00616817"/>
    <w:rsid w:val="00617192"/>
    <w:rsid w:val="006573A0"/>
    <w:rsid w:val="00673B08"/>
    <w:rsid w:val="00693C1B"/>
    <w:rsid w:val="006B4E54"/>
    <w:rsid w:val="006C1A3A"/>
    <w:rsid w:val="006F061C"/>
    <w:rsid w:val="006F246B"/>
    <w:rsid w:val="006F329C"/>
    <w:rsid w:val="006F46D6"/>
    <w:rsid w:val="007079F4"/>
    <w:rsid w:val="007608BA"/>
    <w:rsid w:val="007652F1"/>
    <w:rsid w:val="00796A3F"/>
    <w:rsid w:val="007C2014"/>
    <w:rsid w:val="007C310A"/>
    <w:rsid w:val="00802DA6"/>
    <w:rsid w:val="00803850"/>
    <w:rsid w:val="008122C3"/>
    <w:rsid w:val="008154E4"/>
    <w:rsid w:val="008158A7"/>
    <w:rsid w:val="00851E95"/>
    <w:rsid w:val="00856213"/>
    <w:rsid w:val="00871165"/>
    <w:rsid w:val="00883316"/>
    <w:rsid w:val="00894713"/>
    <w:rsid w:val="008E0DCA"/>
    <w:rsid w:val="008F1C64"/>
    <w:rsid w:val="00900411"/>
    <w:rsid w:val="00901252"/>
    <w:rsid w:val="0091504E"/>
    <w:rsid w:val="0096330C"/>
    <w:rsid w:val="009C4056"/>
    <w:rsid w:val="009D1530"/>
    <w:rsid w:val="009D5D7C"/>
    <w:rsid w:val="009E1FCF"/>
    <w:rsid w:val="009E26AA"/>
    <w:rsid w:val="009E4458"/>
    <w:rsid w:val="009F14F7"/>
    <w:rsid w:val="009F7745"/>
    <w:rsid w:val="00A01A88"/>
    <w:rsid w:val="00A0347D"/>
    <w:rsid w:val="00A04E23"/>
    <w:rsid w:val="00A36631"/>
    <w:rsid w:val="00A4390D"/>
    <w:rsid w:val="00A43DF5"/>
    <w:rsid w:val="00A50FB5"/>
    <w:rsid w:val="00A63349"/>
    <w:rsid w:val="00A7145A"/>
    <w:rsid w:val="00A901F3"/>
    <w:rsid w:val="00A90962"/>
    <w:rsid w:val="00A909CC"/>
    <w:rsid w:val="00AB1F52"/>
    <w:rsid w:val="00AB2986"/>
    <w:rsid w:val="00AD0E24"/>
    <w:rsid w:val="00AE4246"/>
    <w:rsid w:val="00B14EDE"/>
    <w:rsid w:val="00B6043B"/>
    <w:rsid w:val="00B72057"/>
    <w:rsid w:val="00B8368D"/>
    <w:rsid w:val="00B8736B"/>
    <w:rsid w:val="00BC5A53"/>
    <w:rsid w:val="00BC5C35"/>
    <w:rsid w:val="00BC7A75"/>
    <w:rsid w:val="00BF1A43"/>
    <w:rsid w:val="00BF58E0"/>
    <w:rsid w:val="00C10F52"/>
    <w:rsid w:val="00C13416"/>
    <w:rsid w:val="00C53419"/>
    <w:rsid w:val="00C559E9"/>
    <w:rsid w:val="00C84B9D"/>
    <w:rsid w:val="00CB5676"/>
    <w:rsid w:val="00CD2FDC"/>
    <w:rsid w:val="00CD745C"/>
    <w:rsid w:val="00CE6991"/>
    <w:rsid w:val="00CF760B"/>
    <w:rsid w:val="00D003FA"/>
    <w:rsid w:val="00D13179"/>
    <w:rsid w:val="00D14E9D"/>
    <w:rsid w:val="00D26F0B"/>
    <w:rsid w:val="00D63381"/>
    <w:rsid w:val="00D64E23"/>
    <w:rsid w:val="00D66310"/>
    <w:rsid w:val="00D815F4"/>
    <w:rsid w:val="00D822BE"/>
    <w:rsid w:val="00DA23A1"/>
    <w:rsid w:val="00DE391F"/>
    <w:rsid w:val="00DF770D"/>
    <w:rsid w:val="00E06472"/>
    <w:rsid w:val="00E143BE"/>
    <w:rsid w:val="00E71D7D"/>
    <w:rsid w:val="00E85CE1"/>
    <w:rsid w:val="00EA23BB"/>
    <w:rsid w:val="00EB4611"/>
    <w:rsid w:val="00ED375F"/>
    <w:rsid w:val="00ED4DA4"/>
    <w:rsid w:val="00EE6216"/>
    <w:rsid w:val="00EE7EC7"/>
    <w:rsid w:val="00EF04BA"/>
    <w:rsid w:val="00EF4E3C"/>
    <w:rsid w:val="00F1561E"/>
    <w:rsid w:val="00F55C44"/>
    <w:rsid w:val="00F81E72"/>
    <w:rsid w:val="00F86CCC"/>
    <w:rsid w:val="00F934A7"/>
    <w:rsid w:val="00FA0CCB"/>
    <w:rsid w:val="00FB1F0F"/>
    <w:rsid w:val="00FD43F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2F1"/>
  </w:style>
  <w:style w:type="paragraph" w:styleId="a8">
    <w:name w:val="footer"/>
    <w:basedOn w:val="a"/>
    <w:link w:val="a9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2F1"/>
  </w:style>
  <w:style w:type="paragraph" w:styleId="aa">
    <w:name w:val="List Paragraph"/>
    <w:basedOn w:val="a"/>
    <w:uiPriority w:val="34"/>
    <w:qFormat/>
    <w:rsid w:val="00A7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2F1"/>
  </w:style>
  <w:style w:type="paragraph" w:styleId="a8">
    <w:name w:val="footer"/>
    <w:basedOn w:val="a"/>
    <w:link w:val="a9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2F1"/>
  </w:style>
  <w:style w:type="paragraph" w:styleId="aa">
    <w:name w:val="List Paragraph"/>
    <w:basedOn w:val="a"/>
    <w:uiPriority w:val="34"/>
    <w:qFormat/>
    <w:rsid w:val="00A7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44;&#1041;&#1052;\05_&#1050;&#1091;&#1095;&#1077;&#1088;&#1077;&#1085;&#1082;&#1086;\&#1082;&#1086;&#1088;&#1088;&#1077;&#1089;&#1087;&#1086;&#1085;&#1076;&#1077;&#1085;&#1094;&#1080;&#1103;\&#1056;&#1072;&#1079;&#1088;&#1072;&#1073;&#1086;&#1090;&#1082;&#1080;%20&#1086;&#1090;&#1076;&#1077;&#1083;&#1072;\&#1055;&#1088;&#1080;&#1082;&#1072;&#1079;%20&#1041;&#1054;%20&#1080;%20&#1044;&#1054;\&#1087;&#1088;&#1086;&#1077;&#1082;&#1090;%20&#1041;&#1054;%20&#1080;%20&#1044;&#1054;_&#1058;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T:\&#1044;&#1041;&#1052;\05_&#1050;&#1091;&#1095;&#1077;&#1088;&#1077;&#1085;&#1082;&#1086;\&#1082;&#1086;&#1088;&#1088;&#1077;&#1089;&#1087;&#1086;&#1085;&#1076;&#1077;&#1085;&#1094;&#1080;&#1103;\&#1056;&#1072;&#1079;&#1088;&#1072;&#1073;&#1086;&#1090;&#1082;&#1080;%20&#1086;&#1090;&#1076;&#1077;&#1083;&#1072;\&#1055;&#1088;&#1080;&#1082;&#1072;&#1079;%20&#1041;&#1054;%20&#1080;%20&#1044;&#1054;\&#1087;&#1088;&#1086;&#1077;&#1082;&#1090;%20&#1041;&#1054;%20&#1080;%20&#1044;&#1054;_&#1058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C9E2-A0C8-41A9-B1EC-32599BC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1</cp:lastModifiedBy>
  <cp:revision>139</cp:revision>
  <cp:lastPrinted>2022-11-30T11:00:00Z</cp:lastPrinted>
  <dcterms:created xsi:type="dcterms:W3CDTF">2021-12-13T11:32:00Z</dcterms:created>
  <dcterms:modified xsi:type="dcterms:W3CDTF">2022-12-01T10:06:00Z</dcterms:modified>
</cp:coreProperties>
</file>