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3C8BFA72" w:rsidR="002B3BA6" w:rsidRPr="00172F0B" w:rsidRDefault="002B3BA6" w:rsidP="00172F0B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  <w:r w:rsidR="00E7713F">
        <w:rPr>
          <w:rStyle w:val="ac"/>
          <w:rFonts w:ascii="Times New Roman" w:hAnsi="Times New Roman"/>
          <w:i/>
          <w:iCs/>
          <w:sz w:val="24"/>
          <w:szCs w:val="24"/>
        </w:rPr>
        <w:t xml:space="preserve">, </w:t>
      </w:r>
      <w:hyperlink r:id="rId15" w:anchor="0025-129-20220812-1-1" w:tgtFrame="_blank" w:history="1">
        <w:r w:rsidR="00E7713F" w:rsidRPr="00E7713F">
          <w:rPr>
            <w:rStyle w:val="ac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, </w:t>
      </w:r>
      <w:hyperlink r:id="rId16" w:tgtFrame="_blank" w:history="1">
        <w:r w:rsidR="00EA1754" w:rsidRPr="00EA1754">
          <w:rPr>
            <w:rStyle w:val="ac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EA1754" w:rsidRP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)</w:t>
      </w:r>
      <w:r w:rsidR="00172F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72F0B" w:rsidRPr="0095245A">
          <w:rPr>
            <w:rStyle w:val="ac"/>
            <w:rFonts w:ascii="Times New Roman" w:hAnsi="Times New Roman"/>
            <w:i/>
            <w:iCs/>
            <w:sz w:val="24"/>
            <w:szCs w:val="24"/>
          </w:rPr>
          <w:t>от 23.09.2022 № 178</w:t>
        </w:r>
      </w:hyperlink>
      <w:r w:rsidR="00C53D24">
        <w:rPr>
          <w:rFonts w:ascii="Times New Roman" w:hAnsi="Times New Roman"/>
          <w:sz w:val="24"/>
          <w:szCs w:val="24"/>
        </w:rPr>
        <w:t>,</w:t>
      </w:r>
      <w:r w:rsidR="00C16E1D">
        <w:rPr>
          <w:rFonts w:ascii="Times New Roman" w:hAnsi="Times New Roman"/>
          <w:sz w:val="24"/>
          <w:szCs w:val="24"/>
        </w:rPr>
        <w:t xml:space="preserve"> </w:t>
      </w:r>
      <w:hyperlink r:id="rId18" w:tgtFrame="_blank" w:history="1">
        <w:r w:rsidR="00C16E1D" w:rsidRPr="00C16E1D">
          <w:rPr>
            <w:rStyle w:val="ac"/>
            <w:rFonts w:ascii="Times New Roman" w:hAnsi="Times New Roman" w:cs="Arial"/>
            <w:i/>
            <w:iCs/>
            <w:sz w:val="24"/>
            <w:szCs w:val="24"/>
          </w:rPr>
          <w:t>от 22.12.2022 № 217</w:t>
        </w:r>
      </w:hyperlink>
      <w:r w:rsidR="00C16E1D">
        <w:rPr>
          <w:rFonts w:ascii="Times New Roman" w:hAnsi="Times New Roman"/>
          <w:sz w:val="24"/>
          <w:szCs w:val="24"/>
        </w:rPr>
        <w:t>,</w:t>
      </w:r>
      <w:r w:rsidR="00C53D24">
        <w:rPr>
          <w:rFonts w:ascii="Times New Roman" w:hAnsi="Times New Roman"/>
          <w:sz w:val="24"/>
          <w:szCs w:val="24"/>
        </w:rPr>
        <w:t xml:space="preserve"> </w:t>
      </w:r>
      <w:hyperlink r:id="rId19" w:tgtFrame="_blank" w:history="1">
        <w:r w:rsidR="00C53D24" w:rsidRPr="00C53D24">
          <w:rPr>
            <w:rStyle w:val="ac"/>
            <w:rFonts w:ascii="Times New Roman" w:hAnsi="Times New Roman" w:cs="Arial"/>
            <w:i/>
            <w:iCs/>
            <w:sz w:val="24"/>
            <w:szCs w:val="24"/>
          </w:rPr>
          <w:t>от 09.08.2022 № 123</w:t>
        </w:r>
      </w:hyperlink>
      <w:r w:rsidR="00846A0B">
        <w:rPr>
          <w:rFonts w:ascii="Times New Roman" w:hAnsi="Times New Roman"/>
          <w:sz w:val="24"/>
          <w:szCs w:val="24"/>
        </w:rPr>
        <w:t xml:space="preserve">, </w:t>
      </w:r>
      <w:hyperlink r:id="rId20" w:tgtFrame="_blank" w:history="1">
        <w:r w:rsidR="00846A0B">
          <w:rPr>
            <w:rStyle w:val="af4"/>
            <w:color w:val="0000FF"/>
            <w:u w:val="single"/>
          </w:rPr>
          <w:t>от 15.09.2022 № 175</w:t>
        </w:r>
      </w:hyperlink>
      <w:r w:rsidR="00846A0B">
        <w:t>)</w:t>
      </w: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172F0B" w:rsidRPr="00D40D74" w14:paraId="1D3E4490" w14:textId="77777777" w:rsidTr="00A21564">
        <w:tc>
          <w:tcPr>
            <w:tcW w:w="609" w:type="dxa"/>
            <w:vAlign w:val="center"/>
          </w:tcPr>
          <w:p w14:paraId="54F39471" w14:textId="041F79F1" w:rsidR="00172F0B" w:rsidRPr="00172F0B" w:rsidRDefault="00172F0B" w:rsidP="00172F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11</w:t>
            </w:r>
            <w:r w:rsidRPr="00172F0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1F928852" w14:textId="4BE2BC96" w:rsidR="00172F0B" w:rsidRPr="00172F0B" w:rsidRDefault="00172F0B" w:rsidP="00172F0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003 03 00</w:t>
            </w:r>
          </w:p>
        </w:tc>
        <w:tc>
          <w:tcPr>
            <w:tcW w:w="7310" w:type="dxa"/>
            <w:vAlign w:val="center"/>
          </w:tcPr>
          <w:p w14:paraId="53848063" w14:textId="54699B4F" w:rsidR="00172F0B" w:rsidRPr="00172F0B" w:rsidRDefault="00172F0B" w:rsidP="00172F0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Фонд развития промышленности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Поддержка творческих инициатив населения, организаций в сфере культуры, творческих союзов (расходы на содержание дворцов и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Расходы на содержание центров по адаптивной физической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Расходы по обеспечению социальной поддержки детям-сиротам и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оказания санаторно-курортной и реабилитационной помощи кадровому составу МВД Донецкой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C53D24" w:rsidRPr="00D40D74" w14:paraId="4A962A43" w14:textId="77777777" w:rsidTr="005F0AD0">
        <w:tc>
          <w:tcPr>
            <w:tcW w:w="609" w:type="dxa"/>
            <w:vAlign w:val="center"/>
          </w:tcPr>
          <w:p w14:paraId="5127880C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030" w:type="dxa"/>
            <w:gridSpan w:val="2"/>
            <w:vAlign w:val="center"/>
          </w:tcPr>
          <w:p w14:paraId="7C7C60B0" w14:textId="3A9009DB" w:rsidR="00C53D24" w:rsidRPr="00D40D74" w:rsidRDefault="00C53D24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1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53D24" w:rsidRPr="00D40D74" w14:paraId="63299049" w14:textId="77777777" w:rsidTr="00A519D3">
        <w:tc>
          <w:tcPr>
            <w:tcW w:w="609" w:type="dxa"/>
            <w:vAlign w:val="center"/>
          </w:tcPr>
          <w:p w14:paraId="7DE01C96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030" w:type="dxa"/>
            <w:gridSpan w:val="2"/>
            <w:vAlign w:val="center"/>
          </w:tcPr>
          <w:p w14:paraId="661F8B22" w14:textId="308E833E" w:rsidR="00C53D24" w:rsidRPr="00D40D74" w:rsidRDefault="00C53D24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2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C53D24" w:rsidRPr="00D40D74" w14:paraId="10DEA9B6" w14:textId="77777777" w:rsidTr="006E4B9B">
        <w:tc>
          <w:tcPr>
            <w:tcW w:w="609" w:type="dxa"/>
            <w:vAlign w:val="center"/>
          </w:tcPr>
          <w:p w14:paraId="57F11169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030" w:type="dxa"/>
            <w:gridSpan w:val="2"/>
            <w:vAlign w:val="center"/>
          </w:tcPr>
          <w:p w14:paraId="697A38B7" w14:textId="06383580" w:rsidR="00C53D24" w:rsidRPr="00D40D74" w:rsidRDefault="00C53D24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3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 из Республиканского бюджета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помощь на детей-сирот и детей, лишенных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lastRenderedPageBreak/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846A0B" w:rsidRPr="00D40D74" w14:paraId="5F3B8E8E" w14:textId="77777777" w:rsidTr="00D63859">
        <w:tc>
          <w:tcPr>
            <w:tcW w:w="609" w:type="dxa"/>
            <w:vAlign w:val="center"/>
          </w:tcPr>
          <w:p w14:paraId="7DEA79AB" w14:textId="5E6C6745" w:rsidR="00846A0B" w:rsidRPr="00846A0B" w:rsidRDefault="00846A0B" w:rsidP="00846A0B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846A0B">
              <w:rPr>
                <w:rFonts w:cs="Times New Roman"/>
                <w:color w:val="0A0A0A"/>
                <w:sz w:val="24"/>
                <w:szCs w:val="24"/>
              </w:rPr>
              <w:t>254</w:t>
            </w:r>
            <w:r w:rsidRPr="00846A0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20" w:type="dxa"/>
            <w:vAlign w:val="center"/>
          </w:tcPr>
          <w:p w14:paraId="274A939A" w14:textId="7FC2BB72" w:rsidR="00846A0B" w:rsidRPr="00846A0B" w:rsidRDefault="00846A0B" w:rsidP="00846A0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846A0B">
              <w:rPr>
                <w:rFonts w:cs="Times New Roman"/>
                <w:color w:val="0A0A0A"/>
                <w:sz w:val="24"/>
                <w:szCs w:val="24"/>
              </w:rPr>
              <w:t>024 07 08</w:t>
            </w:r>
          </w:p>
        </w:tc>
        <w:tc>
          <w:tcPr>
            <w:tcW w:w="7310" w:type="dxa"/>
            <w:vAlign w:val="center"/>
          </w:tcPr>
          <w:p w14:paraId="730D45CC" w14:textId="6C9E0E81" w:rsidR="00846A0B" w:rsidRPr="00846A0B" w:rsidRDefault="00846A0B" w:rsidP="00846A0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46A0B"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E7713F" w:rsidRPr="00D40D74" w14:paraId="268CD989" w14:textId="77777777" w:rsidTr="00A715CD">
        <w:tc>
          <w:tcPr>
            <w:tcW w:w="609" w:type="dxa"/>
          </w:tcPr>
          <w:p w14:paraId="4ADDB192" w14:textId="09D62EED" w:rsidR="00E7713F" w:rsidRPr="00E7713F" w:rsidRDefault="00E7713F" w:rsidP="00E7713F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257</w:t>
            </w:r>
            <w:r w:rsidRPr="00E771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</w:tcPr>
          <w:p w14:paraId="35F207E1" w14:textId="78D2E421" w:rsidR="00E7713F" w:rsidRPr="00E7713F" w:rsidRDefault="00E7713F" w:rsidP="00E7713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024   08   06</w:t>
            </w:r>
          </w:p>
        </w:tc>
        <w:tc>
          <w:tcPr>
            <w:tcW w:w="7310" w:type="dxa"/>
          </w:tcPr>
          <w:p w14:paraId="2125146A" w14:textId="4D86C25E" w:rsidR="00E7713F" w:rsidRPr="00E7713F" w:rsidRDefault="00E7713F" w:rsidP="00E7713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лицам, уволенным с военной службы, и некоторым другим лицам Донецкой Народной Республики за счет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EA1754" w:rsidRPr="00D40D74" w14:paraId="3A8E0E95" w14:textId="77777777" w:rsidTr="00877E73">
        <w:tc>
          <w:tcPr>
            <w:tcW w:w="609" w:type="dxa"/>
            <w:vAlign w:val="center"/>
          </w:tcPr>
          <w:p w14:paraId="36D3594B" w14:textId="37053A3E" w:rsidR="00EA1754" w:rsidRPr="006054AF" w:rsidRDefault="00EA1754" w:rsidP="00EA17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0E08FAE1" w:rsidR="00EA1754" w:rsidRPr="006054AF" w:rsidRDefault="00EA1754" w:rsidP="00EA17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030   02   00</w:t>
            </w:r>
          </w:p>
        </w:tc>
        <w:tc>
          <w:tcPr>
            <w:tcW w:w="7310" w:type="dxa"/>
            <w:vAlign w:val="center"/>
          </w:tcPr>
          <w:p w14:paraId="0064EABD" w14:textId="0913886F" w:rsidR="00EA1754" w:rsidRPr="006054AF" w:rsidRDefault="00EA1754" w:rsidP="00EA17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24460" w:rsidRPr="00D40D74" w14:paraId="6890C05B" w14:textId="77777777" w:rsidTr="00877E73">
        <w:tc>
          <w:tcPr>
            <w:tcW w:w="609" w:type="dxa"/>
            <w:vAlign w:val="center"/>
          </w:tcPr>
          <w:p w14:paraId="50A4640E" w14:textId="07010F23" w:rsidR="00124460" w:rsidRPr="00124460" w:rsidRDefault="00124460" w:rsidP="001244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334</w:t>
            </w:r>
            <w:r w:rsidRPr="00124460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4D9F5C94" w14:textId="4EAE627E" w:rsidR="00124460" w:rsidRPr="00124460" w:rsidRDefault="00124460" w:rsidP="0012446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031   06   00</w:t>
            </w:r>
          </w:p>
        </w:tc>
        <w:tc>
          <w:tcPr>
            <w:tcW w:w="7310" w:type="dxa"/>
            <w:vAlign w:val="center"/>
          </w:tcPr>
          <w:p w14:paraId="75AF7E64" w14:textId="13055F22" w:rsidR="00124460" w:rsidRPr="00124460" w:rsidRDefault="00124460" w:rsidP="0012446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осуществление текущего ремонта и содержание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земельных отношений, землеустройства, </w:t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24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размещением социальных и политических материалов для освещения деятельности органов государственной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C16E1D" w:rsidRPr="00D40D74" w14:paraId="26617192" w14:textId="77777777" w:rsidTr="006A6BDE">
        <w:tc>
          <w:tcPr>
            <w:tcW w:w="609" w:type="dxa"/>
            <w:vAlign w:val="center"/>
          </w:tcPr>
          <w:p w14:paraId="7E7D91F5" w14:textId="7170F89F" w:rsidR="00C16E1D" w:rsidRPr="00C16E1D" w:rsidRDefault="00C16E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6E1D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lastRenderedPageBreak/>
              <w:t>401</w:t>
            </w:r>
            <w:r w:rsidRPr="00C16E1D">
              <w:rPr>
                <w:rFonts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2556C60" w14:textId="02F6DF6D" w:rsidR="00C16E1D" w:rsidRPr="00C16E1D" w:rsidRDefault="00C16E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16E1D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042 06 00</w:t>
            </w:r>
          </w:p>
        </w:tc>
        <w:tc>
          <w:tcPr>
            <w:tcW w:w="7310" w:type="dxa"/>
            <w:vAlign w:val="center"/>
          </w:tcPr>
          <w:p w14:paraId="122B68D5" w14:textId="7A3B3955" w:rsidR="00C16E1D" w:rsidRPr="00D40D74" w:rsidRDefault="00C16E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1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направленных на создание 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пожарной опасности в лесах и готовности к действиям сил и средств, предназначенных для предупреждения 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Гуманитарной программе по воссоединению </w:t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Расходы на реализацию мероприятий по повышению </w:t>
            </w: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 w:colFirst="1" w:colLast="2"/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2E6D9FC2" w:rsidR="000B391B" w:rsidRPr="00C16E1D" w:rsidRDefault="00C16E1D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6E1D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056 07 02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486C39F3" w:rsidR="000B391B" w:rsidRPr="00C16E1D" w:rsidRDefault="00C16E1D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1D"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Расходы на реализацию мероприятий по развитию транспортной отрасли и дорожного хозяйства Донецкой Народной Республики</w:t>
            </w:r>
            <w:r w:rsidRPr="00C16E1D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  <w:shd w:val="clear" w:color="auto" w:fill="FEFEFE"/>
              </w:rPr>
              <w:br/>
            </w:r>
            <w:r w:rsidRPr="00C16E1D"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на 2022 год</w:t>
            </w:r>
          </w:p>
        </w:tc>
      </w:tr>
      <w:bookmarkEnd w:id="0"/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25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145F" w14:textId="77777777" w:rsidR="002A5BAD" w:rsidRDefault="002A5BAD">
      <w:r>
        <w:separator/>
      </w:r>
    </w:p>
  </w:endnote>
  <w:endnote w:type="continuationSeparator" w:id="0">
    <w:p w14:paraId="37079296" w14:textId="77777777" w:rsidR="002A5BAD" w:rsidRDefault="002A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24F9" w14:textId="77777777" w:rsidR="002A5BAD" w:rsidRDefault="002A5BAD">
      <w:r>
        <w:separator/>
      </w:r>
    </w:p>
  </w:footnote>
  <w:footnote w:type="continuationSeparator" w:id="0">
    <w:p w14:paraId="2E47631D" w14:textId="77777777" w:rsidR="002A5BAD" w:rsidRDefault="002A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24460"/>
    <w:rsid w:val="00130A00"/>
    <w:rsid w:val="0014148D"/>
    <w:rsid w:val="001415B5"/>
    <w:rsid w:val="001524D2"/>
    <w:rsid w:val="00172F0B"/>
    <w:rsid w:val="00186E9A"/>
    <w:rsid w:val="001A0078"/>
    <w:rsid w:val="001A5452"/>
    <w:rsid w:val="001D1FC5"/>
    <w:rsid w:val="001F572F"/>
    <w:rsid w:val="001F791E"/>
    <w:rsid w:val="00225057"/>
    <w:rsid w:val="00243F2E"/>
    <w:rsid w:val="002469D6"/>
    <w:rsid w:val="00265DEF"/>
    <w:rsid w:val="00267E03"/>
    <w:rsid w:val="002730BC"/>
    <w:rsid w:val="00297F2F"/>
    <w:rsid w:val="002A5BAD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60859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054AF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46A0B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D71C8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6E1D"/>
    <w:rsid w:val="00C17505"/>
    <w:rsid w:val="00C21B6B"/>
    <w:rsid w:val="00C23589"/>
    <w:rsid w:val="00C34B12"/>
    <w:rsid w:val="00C53D24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942B4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7713F"/>
    <w:rsid w:val="00E85CB9"/>
    <w:rsid w:val="00E91DA8"/>
    <w:rsid w:val="00EA1754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hyperlink" Target="http://gisnpa-dnr.ru/npa/0025-217-2022122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123-20220809/" TargetMode="Externa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hyperlink" Target="http://gisnpa-dnr.ru/npa/0025-178-20220923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68-20220905/" TargetMode="External"/><Relationship Id="rId20" Type="http://schemas.openxmlformats.org/officeDocument/2006/relationships/hyperlink" Target="http://gisnpa-dnr.ru/npa/0025-175-2022091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24" Type="http://schemas.openxmlformats.org/officeDocument/2006/relationships/hyperlink" Target="http://gisnpa-dnr.ru/npa/0025-65-202204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29-20220812/" TargetMode="External"/><Relationship Id="rId23" Type="http://schemas.openxmlformats.org/officeDocument/2006/relationships/hyperlink" Target="http://gisnpa-dnr.ru/npa/0025-123-20220809/" TargetMode="External"/><Relationship Id="rId10" Type="http://schemas.openxmlformats.org/officeDocument/2006/relationships/hyperlink" Target="https://gisnpa-dnr.ru/npa/0025-304-20211227/" TargetMode="External"/><Relationship Id="rId19" Type="http://schemas.openxmlformats.org/officeDocument/2006/relationships/hyperlink" Target="http://gisnpa-dnr.ru/npa/0025-123-202208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123-2022080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E4AA-CB1F-4215-975E-D6BD9CCB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9394</Words>
  <Characters>53548</Characters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2020-09-03T06:45:00Z</dcterms:created>
  <dcterms:modified xsi:type="dcterms:W3CDTF">2023-01-10T08:13:00Z</dcterms:modified>
</cp:coreProperties>
</file>