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66" w:rsidRDefault="00693048">
      <w:pPr>
        <w:pStyle w:val="1"/>
        <w:spacing w:before="0" w:line="240" w:lineRule="auto"/>
        <w:ind w:left="1006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 </w:t>
      </w:r>
    </w:p>
    <w:p w:rsidR="001E4866" w:rsidRDefault="00693048">
      <w:pPr>
        <w:pStyle w:val="40"/>
        <w:keepNext/>
        <w:keepLines/>
        <w:spacing w:after="0" w:line="240" w:lineRule="auto"/>
        <w:ind w:left="1006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Соглашению об информационном взаимодействии при формировании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и ведении инвестиционной карты </w:t>
      </w:r>
    </w:p>
    <w:p w:rsidR="001E4866" w:rsidRDefault="00693048">
      <w:pPr>
        <w:pStyle w:val="40"/>
        <w:keepNext/>
        <w:keepLines/>
        <w:spacing w:after="0" w:line="240" w:lineRule="auto"/>
        <w:ind w:left="1006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Донецкой Народной Республики</w:t>
      </w:r>
    </w:p>
    <w:p w:rsidR="001E4866" w:rsidRDefault="00693048">
      <w:pPr>
        <w:pStyle w:val="40"/>
        <w:keepNext/>
        <w:keepLines/>
        <w:spacing w:after="0" w:line="240" w:lineRule="auto"/>
        <w:ind w:left="1006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(подпункт «2.3.1» пункта 2.3 раздела 2) </w:t>
      </w:r>
    </w:p>
    <w:p w:rsidR="001E4866" w:rsidRDefault="001E486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1E4866" w:rsidRDefault="00693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Атрибутивный состав разделов </w:t>
      </w:r>
    </w:p>
    <w:p w:rsidR="001E4866" w:rsidRDefault="00693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инвестиционной карты Донецкой Народной </w:t>
      </w:r>
      <w:r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1E4866" w:rsidRDefault="001E4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2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2735"/>
        <w:gridCol w:w="2338"/>
        <w:gridCol w:w="2614"/>
        <w:gridCol w:w="3363"/>
        <w:gridCol w:w="3211"/>
      </w:tblGrid>
      <w:tr w:rsidR="001E4866">
        <w:trPr>
          <w:tblHeader/>
        </w:trPr>
        <w:tc>
          <w:tcPr>
            <w:tcW w:w="65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6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Слой инвестиционной карты</w:t>
            </w:r>
          </w:p>
        </w:tc>
        <w:tc>
          <w:tcPr>
            <w:tcW w:w="2338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Подслой</w:t>
            </w:r>
          </w:p>
        </w:tc>
        <w:tc>
          <w:tcPr>
            <w:tcW w:w="2614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показателей</w:t>
            </w: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1E4866">
        <w:trPr>
          <w:tblHeader/>
        </w:trPr>
        <w:tc>
          <w:tcPr>
            <w:tcW w:w="65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4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E4866">
        <w:tc>
          <w:tcPr>
            <w:tcW w:w="653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Аналитические слои</w:t>
            </w:r>
          </w:p>
        </w:tc>
        <w:tc>
          <w:tcPr>
            <w:tcW w:w="2338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2614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ресурсах (торф, глина, строительный камень, песок, гравий, песчано-гравийная смесь, уголь)</w:t>
            </w:r>
            <w:proofErr w:type="gramEnd"/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Донецкая Народная Республика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pStyle w:val="20"/>
              <w:shd w:val="clear" w:color="auto" w:fill="auto"/>
              <w:tabs>
                <w:tab w:val="left" w:pos="1135"/>
              </w:tabs>
              <w:spacing w:before="0" w:after="0" w:line="240" w:lineRule="auto"/>
              <w:ind w:left="-5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значения из справочника муниципальных образований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Донецкой Народной Республики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pStyle w:val="20"/>
              <w:shd w:val="clear" w:color="auto" w:fill="auto"/>
              <w:tabs>
                <w:tab w:val="left" w:pos="1135"/>
              </w:tabs>
              <w:spacing w:before="0" w:after="0" w:line="240" w:lineRule="auto"/>
              <w:ind w:left="-5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значения из справочника Подкатегории: общераспространенные полезные ископаемые,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полезные ископаемые, углеводородное сырье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pStyle w:val="20"/>
              <w:shd w:val="clear" w:color="auto" w:fill="auto"/>
              <w:tabs>
                <w:tab w:val="left" w:pos="1135"/>
              </w:tabs>
              <w:spacing w:before="0" w:after="0" w:line="240" w:lineRule="auto"/>
              <w:ind w:left="-5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месторождения*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в формате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(Наименование месторождения)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месторождение»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pStyle w:val="20"/>
              <w:shd w:val="clear" w:color="auto" w:fill="auto"/>
              <w:tabs>
                <w:tab w:val="left" w:pos="1135"/>
              </w:tabs>
              <w:spacing w:before="0" w:after="0" w:line="240" w:lineRule="auto"/>
              <w:ind w:left="-5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курирующей организации*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природных ресурсов и экологии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Донецкой Народной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или иная организация, осуществляющая взаимодействие по вопросам доступа к использованию месторождения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pStyle w:val="20"/>
              <w:shd w:val="clear" w:color="auto" w:fill="auto"/>
              <w:tabs>
                <w:tab w:val="left" w:pos="1135"/>
              </w:tabs>
              <w:spacing w:before="0" w:after="0" w:line="240" w:lineRule="auto"/>
              <w:ind w:left="-5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Геопривязка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 карте точки, линии или полигона</w:t>
            </w:r>
          </w:p>
        </w:tc>
      </w:tr>
      <w:tr w:rsidR="001E4866">
        <w:tc>
          <w:tcPr>
            <w:tcW w:w="653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Деловое окружение. Объекты инвестиционной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инфраструктуры</w:t>
            </w:r>
          </w:p>
        </w:tc>
        <w:tc>
          <w:tcPr>
            <w:tcW w:w="2338" w:type="dxa"/>
            <w:vMerge w:val="restart"/>
          </w:tcPr>
          <w:p w:rsidR="001E4866" w:rsidRDefault="00693048">
            <w:pPr>
              <w:pStyle w:val="20"/>
              <w:shd w:val="clear" w:color="auto" w:fill="auto"/>
              <w:tabs>
                <w:tab w:val="left" w:pos="1135"/>
              </w:tabs>
              <w:spacing w:before="0" w:after="0" w:line="240" w:lineRule="auto"/>
              <w:ind w:left="-5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преференциальных режимов</w:t>
            </w:r>
          </w:p>
        </w:tc>
        <w:tc>
          <w:tcPr>
            <w:tcW w:w="2614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экономическая зона</w:t>
            </w: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объекта*</w:t>
            </w:r>
          </w:p>
        </w:tc>
        <w:tc>
          <w:tcPr>
            <w:tcW w:w="3211" w:type="dxa"/>
          </w:tcPr>
          <w:p w:rsidR="001E4866" w:rsidRDefault="00693048" w:rsidP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 w:rsidP="00693048">
            <w:pPr>
              <w:pStyle w:val="aa"/>
              <w:numPr>
                <w:ilvl w:val="0"/>
                <w:numId w:val="1"/>
              </w:numPr>
              <w:tabs>
                <w:tab w:val="left" w:pos="299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особая экономическая зона</w:t>
            </w:r>
          </w:p>
          <w:p w:rsidR="001E4866" w:rsidRDefault="00693048" w:rsidP="00693048">
            <w:pPr>
              <w:pStyle w:val="aa"/>
              <w:numPr>
                <w:ilvl w:val="0"/>
                <w:numId w:val="1"/>
              </w:numPr>
              <w:tabs>
                <w:tab w:val="left" w:pos="294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территория опережающего развития</w:t>
            </w:r>
          </w:p>
          <w:p w:rsidR="001E4866" w:rsidRDefault="00693048" w:rsidP="00693048">
            <w:pPr>
              <w:pStyle w:val="aa"/>
              <w:numPr>
                <w:ilvl w:val="0"/>
                <w:numId w:val="1"/>
              </w:numPr>
              <w:tabs>
                <w:tab w:val="left" w:pos="299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свободная экономическая зона</w:t>
            </w:r>
          </w:p>
          <w:p w:rsidR="001E4866" w:rsidRDefault="00693048" w:rsidP="00693048">
            <w:pPr>
              <w:pStyle w:val="aa"/>
              <w:numPr>
                <w:ilvl w:val="0"/>
                <w:numId w:val="1"/>
              </w:numPr>
              <w:tabs>
                <w:tab w:val="left" w:pos="299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специальный административный район</w:t>
            </w:r>
          </w:p>
          <w:p w:rsidR="001E4866" w:rsidRDefault="00693048" w:rsidP="00693048">
            <w:pPr>
              <w:pStyle w:val="aa"/>
              <w:numPr>
                <w:ilvl w:val="0"/>
                <w:numId w:val="1"/>
              </w:numPr>
              <w:tabs>
                <w:tab w:val="left" w:pos="299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</w:t>
            </w:r>
            <w:r>
              <w:rPr>
                <w:sz w:val="24"/>
                <w:szCs w:val="24"/>
                <w:lang w:eastAsia="ru-RU"/>
              </w:rPr>
              <w:t>приоритетного экономического развития</w:t>
            </w:r>
          </w:p>
          <w:p w:rsidR="001E4866" w:rsidRDefault="00693048" w:rsidP="00693048">
            <w:pPr>
              <w:pStyle w:val="aa"/>
              <w:numPr>
                <w:ilvl w:val="0"/>
                <w:numId w:val="1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технопарк</w:t>
            </w:r>
          </w:p>
          <w:p w:rsidR="001E4866" w:rsidRDefault="00693048" w:rsidP="00693048">
            <w:pPr>
              <w:pStyle w:val="aa"/>
              <w:numPr>
                <w:ilvl w:val="0"/>
                <w:numId w:val="1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индустриальные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парк</w:t>
            </w:r>
          </w:p>
          <w:p w:rsidR="001E4866" w:rsidRDefault="00693048" w:rsidP="00693048">
            <w:pPr>
              <w:pStyle w:val="aa"/>
              <w:numPr>
                <w:ilvl w:val="0"/>
                <w:numId w:val="1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бизнес-инкубатор</w:t>
            </w:r>
          </w:p>
          <w:p w:rsidR="001E4866" w:rsidRDefault="00693048" w:rsidP="00693048">
            <w:pPr>
              <w:pStyle w:val="aa"/>
              <w:numPr>
                <w:ilvl w:val="0"/>
                <w:numId w:val="1"/>
              </w:numPr>
              <w:tabs>
                <w:tab w:val="left" w:pos="357"/>
              </w:tabs>
              <w:ind w:left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инновационный </w:t>
            </w:r>
            <w:proofErr w:type="spellStart"/>
            <w:r>
              <w:rPr>
                <w:sz w:val="24"/>
                <w:szCs w:val="24"/>
                <w:lang w:eastAsia="ru-RU"/>
              </w:rPr>
              <w:t>научно</w:t>
            </w:r>
            <w:r>
              <w:rPr>
                <w:sz w:val="24"/>
                <w:szCs w:val="24"/>
                <w:lang w:eastAsia="ru-RU"/>
              </w:rPr>
              <w:softHyphen/>
              <w:t>технологический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центр</w:t>
            </w:r>
          </w:p>
          <w:p w:rsidR="001E4866" w:rsidRDefault="00693048" w:rsidP="00693048">
            <w:pPr>
              <w:pStyle w:val="aa"/>
              <w:numPr>
                <w:ilvl w:val="0"/>
                <w:numId w:val="1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промплощадка</w:t>
            </w:r>
            <w:proofErr w:type="spellEnd"/>
          </w:p>
          <w:p w:rsidR="001E4866" w:rsidRDefault="00693048" w:rsidP="00693048">
            <w:pPr>
              <w:pStyle w:val="aa"/>
              <w:numPr>
                <w:ilvl w:val="0"/>
                <w:numId w:val="1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агропромышленный парк</w:t>
            </w:r>
          </w:p>
          <w:p w:rsidR="001E4866" w:rsidRDefault="00693048" w:rsidP="00693048">
            <w:pPr>
              <w:pStyle w:val="aa"/>
              <w:numPr>
                <w:ilvl w:val="0"/>
                <w:numId w:val="1"/>
              </w:numPr>
              <w:tabs>
                <w:tab w:val="left" w:pos="338"/>
              </w:tabs>
              <w:spacing w:after="240"/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логистический парк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 необходимо выбрать из перечня, предварительно внесенного Минэко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номразвития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исключения повторного занесения одного объекта)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 формате: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«(категория преференциального режима / объекта инфраструктуры поддержки) (название)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предустановлено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каталога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Ближайший город*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объекта*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загрузка до 20 файлов размером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мегабайт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формирования объекта*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объекта, лет*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gridSpan w:val="2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объекта, числовое значение, без пробелов, без единиц измерения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стоимость аренды, руб. / кв. м/ год*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значение, без пробелов, без единиц измерения</w:t>
            </w:r>
          </w:p>
        </w:tc>
      </w:tr>
      <w:tr w:rsidR="001E4866">
        <w:trPr>
          <w:trHeight w:val="1058"/>
        </w:trPr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выкупа помещения /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/ нет)*</w:t>
            </w:r>
          </w:p>
        </w:tc>
        <w:tc>
          <w:tcPr>
            <w:tcW w:w="3211" w:type="dxa"/>
            <w:vAlign w:val="center"/>
          </w:tcPr>
          <w:p w:rsidR="001E4866" w:rsidRDefault="00693048" w:rsidP="00693048">
            <w:pPr>
              <w:pStyle w:val="aa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 w:rsidP="0069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/ нет)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отраслей*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деятельность по которым разрешена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резидентам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преференциального режима / инфраструктуры поддержки либо вариант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ограничений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 деятельности*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spacing w:after="2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Указываются ограничения по видам деятельности, установленные </w:t>
            </w:r>
            <w:proofErr w:type="spellStart"/>
            <w:r>
              <w:rPr>
                <w:sz w:val="24"/>
                <w:szCs w:val="24"/>
                <w:lang w:eastAsia="ru-RU"/>
              </w:rPr>
              <w:t>НПА</w:t>
            </w:r>
            <w:proofErr w:type="spellEnd"/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ограничений указать: «Ограничения не установлены»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gridSpan w:val="2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Контакты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администратора объекта*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администратора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 типом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(управляющая компания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муниципального образования для ТОР, 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администратора объекта*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фактический адрес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администратора объекта*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контактного лица (при наличии)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gridSpan w:val="2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Льготы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прибыль*</w:t>
            </w:r>
          </w:p>
        </w:tc>
        <w:tc>
          <w:tcPr>
            <w:tcW w:w="3211" w:type="dxa"/>
            <w:vMerge w:val="restart"/>
          </w:tcPr>
          <w:p w:rsidR="001E4866" w:rsidRDefault="00693048">
            <w:pPr>
              <w:pStyle w:val="aa"/>
              <w:spacing w:after="2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Указываются только льготы, установленные для данного преференциального режима / объекта инфраструктурной поддержки. Информация по иным льготам, которые распространяются на всю </w:t>
            </w:r>
            <w:r>
              <w:rPr>
                <w:sz w:val="24"/>
                <w:szCs w:val="24"/>
                <w:lang w:eastAsia="ru-RU"/>
              </w:rPr>
              <w:lastRenderedPageBreak/>
              <w:t>территорию</w:t>
            </w:r>
            <w:r>
              <w:rPr>
                <w:sz w:val="24"/>
                <w:szCs w:val="24"/>
                <w:lang w:eastAsia="ru-RU"/>
              </w:rPr>
              <w:t xml:space="preserve"> региона, вносится в каталоге «Региональные меры поддержки»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льгот по какому-либо виду налогов (взносов) указывается «Не установлены»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имущество*</w:t>
            </w:r>
          </w:p>
        </w:tc>
        <w:tc>
          <w:tcPr>
            <w:tcW w:w="3211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налог*</w:t>
            </w:r>
          </w:p>
        </w:tc>
        <w:tc>
          <w:tcPr>
            <w:tcW w:w="3211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налог*</w:t>
            </w:r>
          </w:p>
        </w:tc>
        <w:tc>
          <w:tcPr>
            <w:tcW w:w="3211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взносы*</w:t>
            </w:r>
          </w:p>
        </w:tc>
        <w:tc>
          <w:tcPr>
            <w:tcW w:w="3211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режима свободной таможенной зоны (да / нет),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условия*</w:t>
            </w:r>
          </w:p>
        </w:tc>
        <w:tc>
          <w:tcPr>
            <w:tcW w:w="3211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резидентом*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Тезисное описание процедуры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статуса резидента</w:t>
            </w:r>
          </w:p>
        </w:tc>
      </w:tr>
      <w:tr w:rsidR="001E4866">
        <w:tc>
          <w:tcPr>
            <w:tcW w:w="653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Инвестиционные площадки</w:t>
            </w:r>
          </w:p>
        </w:tc>
        <w:tc>
          <w:tcPr>
            <w:tcW w:w="2338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площадки с преференциальным режимом</w:t>
            </w:r>
          </w:p>
        </w:tc>
        <w:tc>
          <w:tcPr>
            <w:tcW w:w="2614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сведения; параметры земельного участка/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параметры здания, сооружения, помещения;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контакты;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технологические присоединения (водоснабжение, водоотведение, газоснабжение, электроснабжение), вывоз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ТБО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транспортная доступность;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площадки*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tabs>
                <w:tab w:val="left" w:leader="underscore" w:pos="3389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Формат названия для земельного участка</w:t>
            </w:r>
            <w:r>
              <w:rPr>
                <w:sz w:val="24"/>
                <w:szCs w:val="24"/>
                <w:lang w:eastAsia="ru-RU"/>
              </w:rPr>
              <w:t>: «Земельный участок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sz w:val="24"/>
                <w:szCs w:val="24"/>
                <w:lang w:eastAsia="ru-RU"/>
              </w:rPr>
              <w:t>га</w:t>
            </w:r>
            <w:proofErr w:type="gramEnd"/>
          </w:p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</w:t>
            </w:r>
          </w:p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u w:val="single"/>
                <w:lang w:eastAsia="ru-RU"/>
              </w:rPr>
              <w:t xml:space="preserve">(где </w:t>
            </w:r>
            <w:proofErr w:type="gramStart"/>
            <w:r>
              <w:rPr>
                <w:i/>
                <w:iCs/>
                <w:sz w:val="24"/>
                <w:szCs w:val="24"/>
                <w:u w:val="single"/>
                <w:lang w:eastAsia="ru-RU"/>
              </w:rPr>
              <w:t>расположен</w:t>
            </w:r>
            <w:proofErr w:type="gramEnd"/>
            <w:r>
              <w:rPr>
                <w:i/>
                <w:iCs/>
                <w:sz w:val="24"/>
                <w:szCs w:val="24"/>
                <w:u w:val="single"/>
                <w:lang w:eastAsia="ru-RU"/>
              </w:rPr>
              <w:t xml:space="preserve">: в </w:t>
            </w:r>
            <w:proofErr w:type="spellStart"/>
            <w:r>
              <w:rPr>
                <w:i/>
                <w:iCs/>
                <w:sz w:val="24"/>
                <w:szCs w:val="24"/>
                <w:u w:val="single"/>
                <w:lang w:eastAsia="ru-RU"/>
              </w:rPr>
              <w:t>ОЭЗ</w:t>
            </w:r>
            <w:proofErr w:type="spellEnd"/>
            <w:r>
              <w:rPr>
                <w:i/>
                <w:iCs/>
                <w:sz w:val="24"/>
                <w:szCs w:val="24"/>
                <w:u w:val="single"/>
                <w:lang w:eastAsia="ru-RU"/>
              </w:rPr>
              <w:t>, индустриальном парке - если применимо)»</w:t>
            </w:r>
          </w:p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Формат названия для здания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E4866" w:rsidRDefault="00693048">
            <w:pPr>
              <w:pStyle w:val="aa"/>
              <w:tabs>
                <w:tab w:val="left" w:leader="underscore" w:pos="2174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«Здание бывшего завода стройматериалов</w:t>
            </w:r>
            <w:r>
              <w:rPr>
                <w:sz w:val="24"/>
                <w:szCs w:val="24"/>
                <w:lang w:eastAsia="ru-RU"/>
              </w:rPr>
              <w:tab/>
              <w:t>кв. м»,</w:t>
            </w:r>
          </w:p>
          <w:p w:rsidR="001E4866" w:rsidRDefault="00693048">
            <w:pPr>
              <w:pStyle w:val="aa"/>
              <w:tabs>
                <w:tab w:val="left" w:leader="underscore" w:pos="2318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«3-этажное здание</w:t>
            </w:r>
            <w:r>
              <w:rPr>
                <w:sz w:val="24"/>
                <w:szCs w:val="24"/>
                <w:lang w:eastAsia="ru-RU"/>
              </w:rPr>
              <w:tab/>
              <w:t>кв</w:t>
            </w:r>
            <w:r w:rsidRPr="0069304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м»,</w:t>
            </w:r>
          </w:p>
          <w:p w:rsidR="001E4866" w:rsidRDefault="00693048">
            <w:pPr>
              <w:pStyle w:val="aa"/>
              <w:tabs>
                <w:tab w:val="left" w:leader="underscore" w:pos="3192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«Производственное здание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ab/>
              <w:t>кв.</w:t>
            </w:r>
          </w:p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</w:t>
            </w:r>
            <w:r w:rsidRPr="00693048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м в индустриальном парке «Мастер» и т.д.</w:t>
            </w:r>
          </w:p>
          <w:p w:rsidR="001E4866" w:rsidRDefault="00693048">
            <w:pPr>
              <w:pStyle w:val="aa"/>
              <w:tabs>
                <w:tab w:val="right" w:leader="underscore" w:pos="1901"/>
                <w:tab w:val="right" w:pos="2347"/>
                <w:tab w:val="left" w:pos="239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Формат названия для помещения</w:t>
            </w:r>
            <w:r>
              <w:rPr>
                <w:sz w:val="24"/>
                <w:szCs w:val="24"/>
                <w:lang w:eastAsia="ru-RU"/>
              </w:rPr>
              <w:t xml:space="preserve">: «Производственное </w:t>
            </w:r>
            <w:r>
              <w:rPr>
                <w:sz w:val="24"/>
                <w:szCs w:val="24"/>
                <w:lang w:eastAsia="ru-RU"/>
              </w:rPr>
              <w:lastRenderedPageBreak/>
              <w:t>помещение</w:t>
            </w:r>
            <w:r>
              <w:rPr>
                <w:sz w:val="24"/>
                <w:szCs w:val="24"/>
                <w:lang w:eastAsia="ru-RU"/>
              </w:rPr>
              <w:tab/>
              <w:t>кв.</w:t>
            </w:r>
            <w:r>
              <w:rPr>
                <w:sz w:val="24"/>
                <w:szCs w:val="24"/>
                <w:lang w:eastAsia="ru-RU"/>
              </w:rPr>
              <w:tab/>
              <w:t>м»,</w:t>
            </w:r>
            <w:r>
              <w:rPr>
                <w:sz w:val="24"/>
                <w:szCs w:val="24"/>
                <w:lang w:eastAsia="ru-RU"/>
              </w:rPr>
              <w:tab/>
              <w:t>«Складское</w:t>
            </w:r>
          </w:p>
          <w:p w:rsidR="001E4866" w:rsidRDefault="00693048">
            <w:pPr>
              <w:pStyle w:val="aa"/>
              <w:tabs>
                <w:tab w:val="right" w:leader="underscore" w:pos="1901"/>
                <w:tab w:val="right" w:pos="2347"/>
                <w:tab w:val="left" w:pos="239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помещение</w:t>
            </w:r>
            <w:r>
              <w:rPr>
                <w:sz w:val="24"/>
                <w:szCs w:val="24"/>
                <w:lang w:eastAsia="ru-RU"/>
              </w:rPr>
              <w:tab/>
              <w:t>кв.</w:t>
            </w:r>
            <w:r>
              <w:rPr>
                <w:sz w:val="24"/>
                <w:szCs w:val="24"/>
                <w:lang w:eastAsia="ru-RU"/>
              </w:rPr>
              <w:tab/>
              <w:t>м»,</w:t>
            </w:r>
            <w:r>
              <w:rPr>
                <w:sz w:val="24"/>
                <w:szCs w:val="24"/>
                <w:lang w:eastAsia="ru-RU"/>
              </w:rPr>
              <w:tab/>
              <w:t>«Офисное</w:t>
            </w:r>
          </w:p>
          <w:p w:rsidR="001E4866" w:rsidRDefault="00693048">
            <w:pPr>
              <w:pStyle w:val="aa"/>
              <w:tabs>
                <w:tab w:val="right" w:leader="underscore" w:pos="1901"/>
                <w:tab w:val="right" w:pos="2347"/>
                <w:tab w:val="left" w:pos="2390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помещение</w:t>
            </w:r>
            <w:r>
              <w:rPr>
                <w:sz w:val="24"/>
                <w:szCs w:val="24"/>
                <w:lang w:eastAsia="ru-RU"/>
              </w:rPr>
              <w:tab/>
              <w:t>кв.</w:t>
            </w:r>
            <w:r>
              <w:rPr>
                <w:sz w:val="24"/>
                <w:szCs w:val="24"/>
                <w:lang w:eastAsia="ru-RU"/>
              </w:rPr>
              <w:tab/>
              <w:t>м»,</w:t>
            </w:r>
            <w:r>
              <w:rPr>
                <w:sz w:val="24"/>
                <w:szCs w:val="24"/>
                <w:lang w:eastAsia="ru-RU"/>
              </w:rPr>
              <w:tab/>
              <w:t>«Помещение</w:t>
            </w:r>
          </w:p>
          <w:p w:rsidR="001E4866" w:rsidRDefault="00693048">
            <w:pPr>
              <w:pStyle w:val="aa"/>
              <w:tabs>
                <w:tab w:val="left" w:leader="underscore" w:pos="365"/>
                <w:tab w:val="left" w:leader="underscore" w:pos="253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кв. м на территории кирпичного завода», </w:t>
            </w:r>
            <w:r>
              <w:rPr>
                <w:sz w:val="24"/>
                <w:szCs w:val="24"/>
                <w:lang w:eastAsia="ru-RU"/>
              </w:rPr>
              <w:t>«Помещение</w:t>
            </w:r>
            <w:r>
              <w:rPr>
                <w:sz w:val="24"/>
                <w:szCs w:val="24"/>
                <w:lang w:eastAsia="ru-RU"/>
              </w:rPr>
              <w:tab/>
              <w:t>кв. м в</w:t>
            </w:r>
            <w:r w:rsidRPr="0069304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индустриальном парке «Мастер» и т.д.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Преференциальный режим*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>
            <w:pPr>
              <w:pStyle w:val="aa"/>
              <w:numPr>
                <w:ilvl w:val="0"/>
                <w:numId w:val="2"/>
              </w:numPr>
              <w:tabs>
                <w:tab w:val="left" w:pos="299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особая экономическая зона</w:t>
            </w:r>
          </w:p>
          <w:p w:rsidR="001E4866" w:rsidRDefault="00693048">
            <w:pPr>
              <w:pStyle w:val="aa"/>
              <w:numPr>
                <w:ilvl w:val="0"/>
                <w:numId w:val="2"/>
              </w:numPr>
              <w:tabs>
                <w:tab w:val="left" w:pos="294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территория опережающего развития</w:t>
            </w:r>
          </w:p>
          <w:p w:rsidR="001E4866" w:rsidRDefault="00693048">
            <w:pPr>
              <w:pStyle w:val="aa"/>
              <w:numPr>
                <w:ilvl w:val="0"/>
                <w:numId w:val="2"/>
              </w:numPr>
              <w:tabs>
                <w:tab w:val="left" w:pos="299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свободная экономическая зона</w:t>
            </w:r>
          </w:p>
          <w:p w:rsidR="001E4866" w:rsidRDefault="00693048">
            <w:pPr>
              <w:pStyle w:val="aa"/>
              <w:numPr>
                <w:ilvl w:val="0"/>
                <w:numId w:val="2"/>
              </w:numPr>
              <w:tabs>
                <w:tab w:val="left" w:pos="299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специальный административный район</w:t>
            </w:r>
          </w:p>
          <w:p w:rsidR="001E4866" w:rsidRDefault="00693048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left="300" w:hanging="1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</w:t>
            </w:r>
            <w:r>
              <w:rPr>
                <w:sz w:val="24"/>
                <w:szCs w:val="24"/>
                <w:lang w:eastAsia="ru-RU"/>
              </w:rPr>
              <w:t>приоритетного экономического развития</w:t>
            </w:r>
          </w:p>
          <w:p w:rsidR="001E4866" w:rsidRDefault="00693048">
            <w:pPr>
              <w:pStyle w:val="aa"/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b/>
                <w:bCs/>
                <w:sz w:val="24"/>
                <w:szCs w:val="24"/>
                <w:lang w:eastAsia="ru-RU"/>
              </w:rPr>
              <w:t>•</w:t>
            </w:r>
            <w:r>
              <w:rPr>
                <w:rFonts w:eastAsia="Arial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отсутствует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указании о наличии преференциального режима необходимо открыть таблицу для привязки карточки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инвестплощадки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карточке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каталоге «Деловое окружение.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инвестиционной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аструктуры»)</w:t>
            </w:r>
            <w:proofErr w:type="gramEnd"/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инфраструктуры поддержки*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>
            <w:pPr>
              <w:pStyle w:val="aa"/>
              <w:numPr>
                <w:ilvl w:val="0"/>
                <w:numId w:val="3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технопарк</w:t>
            </w:r>
          </w:p>
          <w:p w:rsidR="001E4866" w:rsidRDefault="00693048">
            <w:pPr>
              <w:pStyle w:val="aa"/>
              <w:numPr>
                <w:ilvl w:val="0"/>
                <w:numId w:val="3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индустриальные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парк</w:t>
            </w:r>
          </w:p>
          <w:p w:rsidR="001E4866" w:rsidRDefault="00693048">
            <w:pPr>
              <w:pStyle w:val="aa"/>
              <w:numPr>
                <w:ilvl w:val="0"/>
                <w:numId w:val="3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бизнес-инкубатор</w:t>
            </w:r>
          </w:p>
          <w:p w:rsidR="001E4866" w:rsidRDefault="00693048">
            <w:pPr>
              <w:pStyle w:val="aa"/>
              <w:numPr>
                <w:ilvl w:val="0"/>
                <w:numId w:val="3"/>
              </w:numPr>
              <w:tabs>
                <w:tab w:val="left" w:pos="357"/>
              </w:tabs>
              <w:ind w:left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инновационный научно-технологический центр</w:t>
            </w:r>
          </w:p>
          <w:p w:rsidR="001E4866" w:rsidRDefault="00693048">
            <w:pPr>
              <w:pStyle w:val="aa"/>
              <w:numPr>
                <w:ilvl w:val="0"/>
                <w:numId w:val="3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промплощадка</w:t>
            </w:r>
            <w:proofErr w:type="spellEnd"/>
          </w:p>
          <w:p w:rsidR="001E4866" w:rsidRDefault="00693048">
            <w:pPr>
              <w:pStyle w:val="aa"/>
              <w:numPr>
                <w:ilvl w:val="0"/>
                <w:numId w:val="3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агропромышленный парк</w:t>
            </w:r>
          </w:p>
          <w:p w:rsidR="001E4866" w:rsidRDefault="00693048">
            <w:pPr>
              <w:pStyle w:val="aa"/>
              <w:numPr>
                <w:ilvl w:val="0"/>
                <w:numId w:val="3"/>
              </w:numPr>
              <w:tabs>
                <w:tab w:val="left" w:pos="333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логистический парк</w:t>
            </w:r>
          </w:p>
          <w:p w:rsidR="001E4866" w:rsidRDefault="00693048">
            <w:pPr>
              <w:pStyle w:val="aa"/>
              <w:numPr>
                <w:ilvl w:val="0"/>
                <w:numId w:val="3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льгот</w:t>
            </w:r>
          </w:p>
          <w:p w:rsidR="001E4866" w:rsidRDefault="00693048">
            <w:pPr>
              <w:pStyle w:val="aa"/>
              <w:spacing w:after="260"/>
              <w:ind w:left="1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 указании о наличии объекта инфраструктуры поддержки необходимо открыть отобразившуюся таблицу для привязки карточки </w:t>
            </w:r>
            <w:proofErr w:type="spellStart"/>
            <w:r>
              <w:rPr>
                <w:sz w:val="24"/>
                <w:szCs w:val="24"/>
                <w:lang w:eastAsia="ru-RU"/>
              </w:rPr>
              <w:t>инвестплощадки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br/>
              <w:t>к карточке объекта указанной категории, ранее внесенной в каталоге «Деловое окружение. Объекты инвестиционной инфраструк</w:t>
            </w:r>
            <w:r>
              <w:rPr>
                <w:sz w:val="24"/>
                <w:szCs w:val="24"/>
                <w:lang w:eastAsia="ru-RU"/>
              </w:rPr>
              <w:t>туры».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инвестплощадка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одновременно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префрежима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объекту инфраструктуры поддержки</w:t>
            </w:r>
          </w:p>
          <w:p w:rsidR="00693048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предустановлено для каталога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в формате: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пункт, улица, дом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Ближайший город*</w:t>
            </w:r>
          </w:p>
        </w:tc>
        <w:tc>
          <w:tcPr>
            <w:tcW w:w="3211" w:type="dxa"/>
            <w:vAlign w:val="center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площадки*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>
            <w:pPr>
              <w:pStyle w:val="aa"/>
              <w:numPr>
                <w:ilvl w:val="0"/>
                <w:numId w:val="4"/>
              </w:numPr>
              <w:tabs>
                <w:tab w:val="left" w:pos="342"/>
              </w:tabs>
              <w:spacing w:after="40"/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здания и сооружения</w:t>
            </w:r>
          </w:p>
          <w:p w:rsidR="001E4866" w:rsidRDefault="00693048">
            <w:pPr>
              <w:pStyle w:val="aa"/>
              <w:numPr>
                <w:ilvl w:val="0"/>
                <w:numId w:val="4"/>
              </w:numPr>
              <w:tabs>
                <w:tab w:val="left" w:pos="342"/>
              </w:tabs>
              <w:spacing w:after="40"/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участок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площадки*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</w:t>
            </w:r>
            <w:r>
              <w:rPr>
                <w:sz w:val="24"/>
                <w:szCs w:val="24"/>
                <w:lang w:eastAsia="ru-RU"/>
              </w:rPr>
              <w:t>ачения из справочника:</w:t>
            </w:r>
          </w:p>
          <w:p w:rsidR="001E4866" w:rsidRDefault="00693048">
            <w:pPr>
              <w:pStyle w:val="aa"/>
              <w:numPr>
                <w:ilvl w:val="0"/>
                <w:numId w:val="5"/>
              </w:numPr>
              <w:tabs>
                <w:tab w:val="left" w:pos="342"/>
              </w:tabs>
              <w:spacing w:after="40"/>
              <w:ind w:firstLine="16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браунфилд</w:t>
            </w:r>
            <w:proofErr w:type="spellEnd"/>
          </w:p>
          <w:p w:rsidR="001E4866" w:rsidRDefault="00693048">
            <w:pPr>
              <w:pStyle w:val="aa"/>
              <w:numPr>
                <w:ilvl w:val="0"/>
                <w:numId w:val="5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гринфилд</w:t>
            </w:r>
            <w:proofErr w:type="spellEnd"/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Браунфилд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площадки с инженерной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Гринфилд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площадки без инженерной инфрастр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уктуры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gridSpan w:val="2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Свободные площади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объекта*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>
            <w:pPr>
              <w:pStyle w:val="aa"/>
              <w:numPr>
                <w:ilvl w:val="0"/>
                <w:numId w:val="6"/>
              </w:numPr>
              <w:tabs>
                <w:tab w:val="left" w:pos="347"/>
              </w:tabs>
              <w:spacing w:after="40"/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федеральная</w:t>
            </w:r>
          </w:p>
          <w:p w:rsidR="001E4866" w:rsidRDefault="00693048">
            <w:pPr>
              <w:pStyle w:val="aa"/>
              <w:numPr>
                <w:ilvl w:val="0"/>
                <w:numId w:val="6"/>
              </w:numPr>
              <w:tabs>
                <w:tab w:val="left" w:pos="338"/>
              </w:tabs>
              <w:spacing w:after="40"/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региональная</w:t>
            </w:r>
          </w:p>
          <w:p w:rsidR="001E4866" w:rsidRDefault="00693048">
            <w:pPr>
              <w:pStyle w:val="aa"/>
              <w:numPr>
                <w:ilvl w:val="0"/>
                <w:numId w:val="6"/>
              </w:numPr>
              <w:tabs>
                <w:tab w:val="left" w:pos="342"/>
              </w:tabs>
              <w:spacing w:after="40"/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</w:t>
            </w:r>
          </w:p>
          <w:p w:rsidR="001E4866" w:rsidRDefault="00693048">
            <w:pPr>
              <w:pStyle w:val="aa"/>
              <w:numPr>
                <w:ilvl w:val="0"/>
                <w:numId w:val="6"/>
              </w:numPr>
              <w:tabs>
                <w:tab w:val="left" w:pos="338"/>
              </w:tabs>
              <w:spacing w:after="40"/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частная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</w:p>
          <w:p w:rsidR="00693048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сделки*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Выбор значения из </w:t>
            </w:r>
            <w:r>
              <w:rPr>
                <w:sz w:val="24"/>
                <w:szCs w:val="24"/>
                <w:lang w:eastAsia="ru-RU"/>
              </w:rPr>
              <w:t>справочника:</w:t>
            </w:r>
          </w:p>
          <w:p w:rsidR="001E4866" w:rsidRDefault="00693048">
            <w:pPr>
              <w:pStyle w:val="aa"/>
              <w:numPr>
                <w:ilvl w:val="0"/>
                <w:numId w:val="7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аренда</w:t>
            </w:r>
          </w:p>
          <w:p w:rsidR="001E4866" w:rsidRDefault="00693048">
            <w:pPr>
              <w:pStyle w:val="aa"/>
              <w:numPr>
                <w:ilvl w:val="0"/>
                <w:numId w:val="7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аренда через аукцион</w:t>
            </w:r>
          </w:p>
          <w:p w:rsidR="001E4866" w:rsidRDefault="00693048">
            <w:pPr>
              <w:pStyle w:val="aa"/>
              <w:numPr>
                <w:ilvl w:val="0"/>
                <w:numId w:val="7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в </w:t>
            </w:r>
            <w:proofErr w:type="gramStart"/>
            <w:r>
              <w:rPr>
                <w:sz w:val="24"/>
                <w:szCs w:val="24"/>
                <w:lang w:eastAsia="ru-RU"/>
              </w:rPr>
              <w:t>реализуемом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инвестпроекте</w:t>
            </w:r>
            <w:proofErr w:type="spellEnd"/>
          </w:p>
          <w:p w:rsidR="001E4866" w:rsidRDefault="00693048">
            <w:pPr>
              <w:pStyle w:val="aa"/>
              <w:numPr>
                <w:ilvl w:val="0"/>
                <w:numId w:val="7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концессия</w:t>
            </w:r>
          </w:p>
          <w:p w:rsidR="001E4866" w:rsidRDefault="00693048">
            <w:pPr>
              <w:pStyle w:val="aa"/>
              <w:numPr>
                <w:ilvl w:val="0"/>
                <w:numId w:val="7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 осуществления торговой деятельности</w:t>
            </w:r>
          </w:p>
          <w:p w:rsidR="001E4866" w:rsidRDefault="00693048">
            <w:pPr>
              <w:pStyle w:val="aa"/>
              <w:numPr>
                <w:ilvl w:val="0"/>
                <w:numId w:val="7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 размещения некапитального объекта</w:t>
            </w:r>
          </w:p>
          <w:p w:rsidR="001E4866" w:rsidRDefault="00693048">
            <w:pPr>
              <w:pStyle w:val="aa"/>
              <w:numPr>
                <w:ilvl w:val="0"/>
                <w:numId w:val="7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 размещения нестационарного объекта</w:t>
            </w:r>
          </w:p>
          <w:p w:rsidR="001E4866" w:rsidRDefault="00693048">
            <w:pPr>
              <w:pStyle w:val="aa"/>
              <w:numPr>
                <w:ilvl w:val="0"/>
                <w:numId w:val="7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продажа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через аукцион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объекта, руб. (покупки или месячной аренды)*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значение, без единиц измерения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руб./год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значение, без единиц измерения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руб./год за кв. м*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значение, без единиц измерения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аренды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применимо), лет*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spacing w:after="2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Только значения, без единиц измерения, дефис отделяется пробелами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 обязателен, если указаны формы сделки «Аренда», «Аренда через аукцион»</w:t>
            </w:r>
          </w:p>
          <w:p w:rsidR="00693048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048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стоимости (для всех форм сделки)*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указывается, если не введено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атрибуту «Стоимость объекта, руб.» (в случае, когда стоимость определяется по результатам торгов и т.д.)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gridSpan w:val="2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Параметры земельного участка (если выбран формат площадки «Земельный участок»)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именно доступная для размещения площадь в рамках данной площадки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(не вся 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ТОР, индустриального парка и т.д.)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группы цифр, разделенных двоеточиями</w:t>
            </w:r>
          </w:p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АА</w:t>
            </w:r>
            <w:proofErr w:type="gramStart"/>
            <w:r>
              <w:rPr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sz w:val="24"/>
                <w:szCs w:val="24"/>
                <w:lang w:eastAsia="ru-RU"/>
              </w:rPr>
              <w:t>В:ССССССС:КК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>
              <w:rPr>
                <w:sz w:val="24"/>
                <w:szCs w:val="24"/>
                <w:lang w:eastAsia="ru-RU"/>
              </w:rPr>
              <w:t>АА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</w:t>
            </w:r>
            <w:r>
              <w:rPr>
                <w:sz w:val="24"/>
                <w:szCs w:val="24"/>
                <w:lang w:eastAsia="ru-RU"/>
              </w:rPr>
              <w:t>кадастровый округ</w:t>
            </w:r>
          </w:p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- кадастровый район </w:t>
            </w:r>
            <w:proofErr w:type="spellStart"/>
            <w:r>
              <w:rPr>
                <w:sz w:val="24"/>
                <w:szCs w:val="24"/>
                <w:lang w:eastAsia="ru-RU"/>
              </w:rPr>
              <w:t>ССССССС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кадастровый квартал в пределах данного кадастрового района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уникальный номер объекта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разрешенного использования*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значения из справочника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земельного участка*</w:t>
            </w:r>
          </w:p>
        </w:tc>
        <w:tc>
          <w:tcPr>
            <w:tcW w:w="3211" w:type="dxa"/>
            <w:vAlign w:val="center"/>
          </w:tcPr>
          <w:p w:rsidR="001E4866" w:rsidRDefault="00693048">
            <w:pPr>
              <w:pStyle w:val="aa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Выбор </w:t>
            </w:r>
            <w:r>
              <w:rPr>
                <w:sz w:val="24"/>
                <w:szCs w:val="24"/>
                <w:lang w:eastAsia="ru-RU"/>
              </w:rPr>
              <w:t>значения из справочника:</w:t>
            </w:r>
          </w:p>
          <w:p w:rsidR="001E4866" w:rsidRDefault="00693048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spacing w:after="40"/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</w:t>
            </w:r>
          </w:p>
          <w:p w:rsidR="001E4866" w:rsidRDefault="00693048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spacing w:after="40"/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земель*</w:t>
            </w:r>
          </w:p>
        </w:tc>
        <w:tc>
          <w:tcPr>
            <w:tcW w:w="3211" w:type="dxa"/>
            <w:vAlign w:val="center"/>
          </w:tcPr>
          <w:p w:rsidR="001E4866" w:rsidRDefault="00693048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>
            <w:pPr>
              <w:pStyle w:val="aa"/>
              <w:numPr>
                <w:ilvl w:val="0"/>
                <w:numId w:val="9"/>
              </w:numPr>
              <w:tabs>
                <w:tab w:val="left" w:pos="338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выбрано</w:t>
            </w:r>
          </w:p>
          <w:p w:rsidR="001E4866" w:rsidRDefault="00693048">
            <w:pPr>
              <w:pStyle w:val="aa"/>
              <w:numPr>
                <w:ilvl w:val="0"/>
                <w:numId w:val="9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жилая застройка</w:t>
            </w:r>
          </w:p>
          <w:p w:rsidR="001E4866" w:rsidRDefault="00693048">
            <w:pPr>
              <w:pStyle w:val="aa"/>
              <w:numPr>
                <w:ilvl w:val="0"/>
                <w:numId w:val="9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земли водного фонда</w:t>
            </w:r>
          </w:p>
          <w:p w:rsidR="001E4866" w:rsidRDefault="00693048">
            <w:pPr>
              <w:pStyle w:val="aa"/>
              <w:numPr>
                <w:ilvl w:val="0"/>
                <w:numId w:val="9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земли запаса</w:t>
            </w:r>
          </w:p>
          <w:p w:rsidR="001E4866" w:rsidRDefault="00693048">
            <w:pPr>
              <w:pStyle w:val="aa"/>
              <w:numPr>
                <w:ilvl w:val="0"/>
                <w:numId w:val="9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земли лесного фонда</w:t>
            </w:r>
          </w:p>
          <w:p w:rsidR="001E4866" w:rsidRDefault="00693048">
            <w:pPr>
              <w:pStyle w:val="aa"/>
              <w:numPr>
                <w:ilvl w:val="0"/>
                <w:numId w:val="9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земли насе</w:t>
            </w:r>
            <w:r>
              <w:rPr>
                <w:sz w:val="24"/>
                <w:szCs w:val="24"/>
                <w:lang w:eastAsia="ru-RU"/>
              </w:rPr>
              <w:t>ленных пунктов</w:t>
            </w:r>
          </w:p>
          <w:p w:rsidR="001E4866" w:rsidRDefault="00693048">
            <w:pPr>
              <w:pStyle w:val="aa"/>
              <w:numPr>
                <w:ilvl w:val="0"/>
                <w:numId w:val="9"/>
              </w:numPr>
              <w:tabs>
                <w:tab w:val="left" w:pos="342"/>
              </w:tabs>
              <w:ind w:firstLine="1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земли особо охраняемых территорий</w:t>
            </w:r>
          </w:p>
          <w:p w:rsidR="001E4866" w:rsidRDefault="00693048">
            <w:pPr>
              <w:pStyle w:val="aa"/>
              <w:numPr>
                <w:ilvl w:val="0"/>
                <w:numId w:val="9"/>
              </w:numPr>
              <w:tabs>
                <w:tab w:val="left" w:pos="352"/>
              </w:tabs>
              <w:ind w:left="16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земли промышленности, </w:t>
            </w:r>
            <w:r>
              <w:rPr>
                <w:sz w:val="24"/>
                <w:szCs w:val="24"/>
                <w:lang w:eastAsia="ru-RU"/>
              </w:rPr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gridSpan w:val="2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Параметры здания, сооружения, помещения (если выбран формат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площадки «Здание, сооружение» или «Помещение»)</w:t>
            </w:r>
            <w:proofErr w:type="gramEnd"/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площадь здания, сооружения, помещения, кв.</w:t>
            </w:r>
            <w:r w:rsidRPr="0069304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именно доступная для размещения площадь в рамках данной площадки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(не вся 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ТОР, индустриального парка и т.д.)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сооружения, помещения*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группы цифр, разделенных двоеточиями</w:t>
            </w:r>
          </w:p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АА</w:t>
            </w:r>
            <w:proofErr w:type="gramStart"/>
            <w:r>
              <w:rPr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ССССССС:КК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АА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кадастровый округ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кадастровый район</w:t>
            </w:r>
          </w:p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000000С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кадастровый квартал в пределах данного кадастрового района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уникальный номер объекта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здания, сооружения, помещения*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Указываются: максимальная нагрузка на пол, высота потолков, параметры вентиляции,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другие доступные характеристики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gridSpan w:val="2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Контакты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собственника в соответствии с типом объекта (управляющая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администрация муниципального образования для ТОР, 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контактного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gridSpan w:val="2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Технологическое присоединение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Наличие (да/нет)*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Тариф на потребление, руб. / куб. м*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тариф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данной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инвестплощадке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числовое значение, без единиц измерения, округление до 1-2 значений после запятой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Тариф на транспортировку, руб. / куб. м*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тариф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 данной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инвестплощадке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числовое значение, без единиц измерения, округление до 1-2 значений после запятой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водоснабжения максимально допустимая мощность, куб. м /</w:t>
            </w:r>
            <w:r w:rsidRPr="0069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значение, без единиц измерения, округление до 1-2 значений после запятой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водоснабжения Пропускная способность, куб. м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значение, без единиц измерения, округление до 1-2 значений после запятой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gridSpan w:val="2"/>
          </w:tcPr>
          <w:p w:rsidR="001E4866" w:rsidRDefault="00693048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Аналогично по объектам и </w:t>
            </w:r>
            <w:r>
              <w:rPr>
                <w:sz w:val="24"/>
                <w:szCs w:val="24"/>
                <w:lang w:eastAsia="ru-RU"/>
              </w:rPr>
              <w:t>сетям водоотведения, газоснабжения, электроснабжения, теплоснабжения.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объектам энергоснабжения указывается средний тариф или тарифы по категориям мощностей (при наличии информации).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r>
              <w:rPr>
                <w:sz w:val="24"/>
                <w:szCs w:val="24"/>
                <w:lang w:eastAsia="ru-RU"/>
              </w:rPr>
              <w:t>ТКО</w:t>
            </w:r>
            <w:proofErr w:type="spellEnd"/>
          </w:p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gridSpan w:val="2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Транспортная доступность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подъездных путей</w:t>
            </w:r>
          </w:p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ж/д (Да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парковки грузового транспорта*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Выбор значения из </w:t>
            </w:r>
            <w:r>
              <w:rPr>
                <w:sz w:val="24"/>
                <w:szCs w:val="24"/>
                <w:lang w:eastAsia="ru-RU"/>
              </w:rPr>
              <w:t>справочника: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gridSpan w:val="2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процедуры подачи заявки*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Необходима следующая</w:t>
            </w:r>
          </w:p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информация:</w:t>
            </w:r>
          </w:p>
          <w:p w:rsidR="001E4866" w:rsidRDefault="00693048">
            <w:pPr>
              <w:pStyle w:val="aa"/>
              <w:numPr>
                <w:ilvl w:val="0"/>
                <w:numId w:val="10"/>
              </w:numPr>
              <w:tabs>
                <w:tab w:val="left" w:pos="139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куда подать заявку на </w:t>
            </w:r>
            <w:proofErr w:type="spellStart"/>
            <w:r>
              <w:rPr>
                <w:sz w:val="24"/>
                <w:szCs w:val="24"/>
                <w:lang w:eastAsia="ru-RU"/>
              </w:rPr>
              <w:t>инвестплощадку</w:t>
            </w:r>
            <w:proofErr w:type="spellEnd"/>
            <w:r>
              <w:rPr>
                <w:sz w:val="24"/>
                <w:szCs w:val="24"/>
                <w:lang w:eastAsia="ru-RU"/>
              </w:rPr>
              <w:t>;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 в какие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будет рассмотрена;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процедуры (конкурса, согласования и т.д.) должны быть пройдены для принятия решения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 для подачи заявки*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адрес эл. почты, на который будет направляться заявка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инвестплощадку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кнопку «Подать заявку» (рекомендуем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указывать адрес эл</w:t>
            </w:r>
            <w:r w:rsidRPr="0069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почты конкретного сотрудника органа власти, местной администрации, управляющей компании, местной администрации, ответственного за взаимодействие по вопросам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инвестплощадок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экономической 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к реализации на площадке*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деятельность по которым разрешена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резидентам объекта преференциального режима / инфраструктуры поддержки либо вариант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ограничений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E4866">
        <w:tc>
          <w:tcPr>
            <w:tcW w:w="653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36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Аналитика региона</w:t>
            </w:r>
          </w:p>
        </w:tc>
        <w:tc>
          <w:tcPr>
            <w:tcW w:w="2338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инвестиционный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2614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Инвестиционном комитете Донецкой Народной Республики; Государственном концерне «Корпорация развития Донбасса»</w:t>
            </w: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инвестиционного развития (название)*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Адрес*</w:t>
            </w:r>
          </w:p>
        </w:tc>
        <w:tc>
          <w:tcPr>
            <w:tcW w:w="3211" w:type="dxa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формате: город, улица, дом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Телефон*</w:t>
            </w:r>
          </w:p>
        </w:tc>
        <w:tc>
          <w:tcPr>
            <w:tcW w:w="3211" w:type="dxa"/>
            <w:vAlign w:val="center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center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Сайт*</w:t>
            </w:r>
          </w:p>
        </w:tc>
        <w:tc>
          <w:tcPr>
            <w:tcW w:w="3211" w:type="dxa"/>
            <w:vAlign w:val="center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почты*</w:t>
            </w:r>
          </w:p>
        </w:tc>
        <w:tc>
          <w:tcPr>
            <w:tcW w:w="3211" w:type="dxa"/>
            <w:vAlign w:val="center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декларация*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файла: «Инвестиционная декларация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субъекта РФ)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Пожаловаться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инвесткомитет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 для обращения в инвестиционный комитет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эл. почты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 обращений по форме «Сообщить об ошибке»*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эл. почты, на который будут приходить обращения о недостоверной / некорректной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объектам на территории региона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инвестиционных правил*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выбрать алгоритм из справочника*</w:t>
            </w:r>
          </w:p>
          <w:p w:rsidR="001E4866" w:rsidRDefault="00693048">
            <w:pPr>
              <w:pStyle w:val="aa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прикрепить </w:t>
            </w:r>
            <w:proofErr w:type="spellStart"/>
            <w:r>
              <w:rPr>
                <w:sz w:val="24"/>
                <w:szCs w:val="24"/>
                <w:lang w:eastAsia="ru-RU"/>
              </w:rPr>
              <w:t>НПА</w:t>
            </w:r>
            <w:proofErr w:type="spellEnd"/>
            <w:r>
              <w:rPr>
                <w:sz w:val="24"/>
                <w:szCs w:val="24"/>
                <w:lang w:eastAsia="ru-RU"/>
              </w:rPr>
              <w:t>*</w:t>
            </w:r>
          </w:p>
          <w:p w:rsidR="001E4866" w:rsidRDefault="00693048">
            <w:pPr>
              <w:pStyle w:val="aa"/>
              <w:tabs>
                <w:tab w:val="left" w:pos="87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3) прикрепить </w:t>
            </w:r>
            <w:proofErr w:type="spellStart"/>
            <w:r>
              <w:rPr>
                <w:sz w:val="24"/>
                <w:szCs w:val="24"/>
                <w:lang w:eastAsia="ru-RU"/>
              </w:rPr>
              <w:t>инфографику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(при наличии)</w:t>
            </w:r>
          </w:p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Соответствующую информацию указать по каждому из алгоритмов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ресурсы</w:t>
            </w:r>
          </w:p>
        </w:tc>
        <w:tc>
          <w:tcPr>
            <w:tcW w:w="2614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водоснабжение, водоотведение, газоснабжение,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электроснабжение, теплоснабжение, твердые коммунальные отходы</w:t>
            </w: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Водоснабжение, руб. / куб. м*</w:t>
            </w:r>
          </w:p>
        </w:tc>
        <w:tc>
          <w:tcPr>
            <w:tcW w:w="3211" w:type="dxa"/>
            <w:vMerge w:val="restart"/>
            <w:vAlign w:val="bottom"/>
          </w:tcPr>
          <w:p w:rsidR="001E4866" w:rsidRDefault="00693048">
            <w:pPr>
              <w:pStyle w:val="aa"/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Min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max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тарифы по </w:t>
            </w:r>
            <w:r>
              <w:rPr>
                <w:sz w:val="24"/>
                <w:szCs w:val="24"/>
                <w:lang w:eastAsia="ru-RU"/>
              </w:rPr>
              <w:br/>
              <w:t xml:space="preserve">региону через дефис (числовые значения, дефис </w:t>
            </w:r>
            <w:r>
              <w:rPr>
                <w:sz w:val="24"/>
                <w:szCs w:val="24"/>
                <w:lang w:eastAsia="ru-RU"/>
              </w:rPr>
              <w:lastRenderedPageBreak/>
              <w:t>отделяется пробелами, без единиц измерения, округление до 1-2 значений после запятой)</w:t>
            </w:r>
            <w:r w:rsidRPr="00693048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По электроснабжению при необходимости тарифы указываются по категориям н</w:t>
            </w:r>
            <w:r>
              <w:rPr>
                <w:sz w:val="24"/>
                <w:szCs w:val="24"/>
                <w:lang w:eastAsia="ru-RU"/>
              </w:rPr>
              <w:t xml:space="preserve">апряжения в формате: </w:t>
            </w:r>
            <w:proofErr w:type="spellStart"/>
            <w:r>
              <w:rPr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- 5,6 </w:t>
            </w:r>
            <w:proofErr w:type="spellStart"/>
            <w:r>
              <w:rPr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- 4 </w:t>
            </w:r>
            <w:proofErr w:type="spellStart"/>
            <w:r>
              <w:rPr>
                <w:sz w:val="24"/>
                <w:szCs w:val="24"/>
                <w:lang w:eastAsia="ru-RU"/>
              </w:rPr>
              <w:t>СН2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- 3,2 </w:t>
            </w:r>
            <w:proofErr w:type="spellStart"/>
            <w:r>
              <w:rPr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- 1,64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Водоотведение, руб. / куб. м*</w:t>
            </w:r>
          </w:p>
        </w:tc>
        <w:tc>
          <w:tcPr>
            <w:tcW w:w="3211" w:type="dxa"/>
            <w:vMerge/>
            <w:vAlign w:val="bottom"/>
          </w:tcPr>
          <w:p w:rsidR="001E4866" w:rsidRDefault="001E4866">
            <w:pPr>
              <w:pStyle w:val="aa"/>
              <w:tabs>
                <w:tab w:val="left" w:pos="408"/>
              </w:tabs>
              <w:ind w:left="5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Газоснабжение, руб. / куб. м*</w:t>
            </w:r>
          </w:p>
        </w:tc>
        <w:tc>
          <w:tcPr>
            <w:tcW w:w="3211" w:type="dxa"/>
            <w:vMerge/>
            <w:vAlign w:val="bottom"/>
          </w:tcPr>
          <w:p w:rsidR="001E4866" w:rsidRDefault="001E4866">
            <w:pPr>
              <w:pStyle w:val="aa"/>
              <w:tabs>
                <w:tab w:val="left" w:pos="408"/>
              </w:tabs>
              <w:ind w:left="5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Электроснабжение, руб. / МВт*</w:t>
            </w:r>
          </w:p>
        </w:tc>
        <w:tc>
          <w:tcPr>
            <w:tcW w:w="3211" w:type="dxa"/>
            <w:vMerge/>
            <w:vAlign w:val="bottom"/>
          </w:tcPr>
          <w:p w:rsidR="001E4866" w:rsidRDefault="001E4866">
            <w:pPr>
              <w:pStyle w:val="aa"/>
              <w:tabs>
                <w:tab w:val="left" w:pos="408"/>
              </w:tabs>
              <w:ind w:left="5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Теплоснабжение, руб. / Гкал*</w:t>
            </w:r>
          </w:p>
        </w:tc>
        <w:tc>
          <w:tcPr>
            <w:tcW w:w="3211" w:type="dxa"/>
            <w:vMerge/>
            <w:vAlign w:val="bottom"/>
          </w:tcPr>
          <w:p w:rsidR="001E4866" w:rsidRDefault="001E4866">
            <w:pPr>
              <w:pStyle w:val="aa"/>
              <w:tabs>
                <w:tab w:val="left" w:pos="408"/>
              </w:tabs>
              <w:ind w:left="5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/ тонна*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(обязателен один из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тарифов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1" w:type="dxa"/>
            <w:vMerge/>
            <w:vAlign w:val="bottom"/>
          </w:tcPr>
          <w:p w:rsidR="001E4866" w:rsidRDefault="001E4866">
            <w:pPr>
              <w:pStyle w:val="aa"/>
              <w:tabs>
                <w:tab w:val="left" w:pos="408"/>
              </w:tabs>
              <w:ind w:left="5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/ куб. м*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(обязателен один из тарифов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11" w:type="dxa"/>
            <w:vMerge/>
            <w:vAlign w:val="bottom"/>
          </w:tcPr>
          <w:p w:rsidR="001E4866" w:rsidRDefault="001E4866">
            <w:pPr>
              <w:pStyle w:val="aa"/>
              <w:tabs>
                <w:tab w:val="left" w:pos="408"/>
              </w:tabs>
              <w:ind w:left="56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ставки</w:t>
            </w:r>
          </w:p>
        </w:tc>
        <w:tc>
          <w:tcPr>
            <w:tcW w:w="2614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налогам, ставки которых установлены на региональном уровне</w:t>
            </w: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налога</w:t>
            </w:r>
          </w:p>
        </w:tc>
        <w:tc>
          <w:tcPr>
            <w:tcW w:w="3211" w:type="dxa"/>
            <w:vAlign w:val="center"/>
          </w:tcPr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>
            <w:pPr>
              <w:pStyle w:val="aa"/>
              <w:numPr>
                <w:ilvl w:val="0"/>
                <w:numId w:val="12"/>
              </w:numPr>
              <w:tabs>
                <w:tab w:val="left" w:pos="16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имущество организаций</w:t>
            </w:r>
          </w:p>
          <w:p w:rsidR="001E4866" w:rsidRDefault="00693048">
            <w:pPr>
              <w:pStyle w:val="aa"/>
              <w:numPr>
                <w:ilvl w:val="0"/>
                <w:numId w:val="12"/>
              </w:numPr>
              <w:tabs>
                <w:tab w:val="left" w:pos="16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</w:t>
            </w:r>
            <w:r>
              <w:rPr>
                <w:sz w:val="24"/>
                <w:szCs w:val="24"/>
                <w:lang w:eastAsia="ru-RU"/>
              </w:rPr>
              <w:t xml:space="preserve"> на игорный бизнес</w:t>
            </w:r>
          </w:p>
          <w:p w:rsidR="001E4866" w:rsidRDefault="00693048">
            <w:pPr>
              <w:pStyle w:val="aa"/>
              <w:numPr>
                <w:ilvl w:val="0"/>
                <w:numId w:val="12"/>
              </w:numPr>
              <w:tabs>
                <w:tab w:val="left" w:pos="16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транспортный налог</w:t>
            </w:r>
          </w:p>
          <w:p w:rsidR="001E4866" w:rsidRDefault="00693048">
            <w:pPr>
              <w:pStyle w:val="aa"/>
              <w:numPr>
                <w:ilvl w:val="0"/>
                <w:numId w:val="12"/>
              </w:numPr>
              <w:tabs>
                <w:tab w:val="left" w:pos="16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прибыль организаций</w:t>
            </w:r>
          </w:p>
          <w:p w:rsidR="001E4866" w:rsidRDefault="00693048">
            <w:pPr>
              <w:pStyle w:val="aa"/>
              <w:numPr>
                <w:ilvl w:val="0"/>
                <w:numId w:val="12"/>
              </w:numPr>
              <w:tabs>
                <w:tab w:val="left" w:pos="17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инвестиционный налоговый вычет по налогу на прибыль</w:t>
            </w:r>
          </w:p>
          <w:p w:rsidR="001E4866" w:rsidRDefault="00693048">
            <w:pPr>
              <w:pStyle w:val="aa"/>
              <w:numPr>
                <w:ilvl w:val="0"/>
                <w:numId w:val="12"/>
              </w:numPr>
              <w:tabs>
                <w:tab w:val="left" w:pos="16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упрощенная система налогообложения</w:t>
            </w:r>
          </w:p>
          <w:p w:rsidR="001E4866" w:rsidRDefault="00693048">
            <w:pPr>
              <w:pStyle w:val="aa"/>
              <w:numPr>
                <w:ilvl w:val="0"/>
                <w:numId w:val="12"/>
              </w:numPr>
              <w:tabs>
                <w:tab w:val="left" w:pos="14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1E4866" w:rsidRDefault="00693048">
            <w:pPr>
              <w:pStyle w:val="aa"/>
              <w:tabs>
                <w:tab w:val="left" w:pos="408"/>
              </w:tabs>
              <w:ind w:left="5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ставки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Размеры </w:t>
            </w:r>
            <w:r>
              <w:rPr>
                <w:sz w:val="24"/>
                <w:szCs w:val="24"/>
                <w:lang w:eastAsia="ru-RU"/>
              </w:rPr>
              <w:t>налоговых ставок, при необходимости - с краткими пояснениями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  <w:proofErr w:type="spellEnd"/>
          </w:p>
        </w:tc>
        <w:tc>
          <w:tcPr>
            <w:tcW w:w="3211" w:type="dxa"/>
          </w:tcPr>
          <w:p w:rsidR="001E4866" w:rsidRDefault="00693048">
            <w:pPr>
              <w:pStyle w:val="aa"/>
              <w:tabs>
                <w:tab w:val="left" w:pos="408"/>
              </w:tabs>
              <w:ind w:left="5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Реквизиты </w:t>
            </w:r>
            <w:proofErr w:type="spellStart"/>
            <w:r>
              <w:rPr>
                <w:sz w:val="24"/>
                <w:szCs w:val="24"/>
                <w:lang w:eastAsia="ru-RU"/>
              </w:rPr>
              <w:t>НПА</w:t>
            </w:r>
            <w:proofErr w:type="spellEnd"/>
            <w:r>
              <w:rPr>
                <w:sz w:val="24"/>
                <w:szCs w:val="24"/>
                <w:lang w:eastAsia="ru-RU"/>
              </w:rPr>
              <w:t>: вид, дата, номер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региональные меры поддержки</w:t>
            </w:r>
          </w:p>
        </w:tc>
        <w:tc>
          <w:tcPr>
            <w:tcW w:w="2614" w:type="dxa"/>
            <w:vMerge w:val="restart"/>
          </w:tcPr>
          <w:p w:rsidR="001E4866" w:rsidRDefault="0069304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 возможных мер поддержки</w:t>
            </w: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tabs>
                <w:tab w:val="left" w:pos="408"/>
              </w:tabs>
              <w:ind w:left="2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предустановлено для каталога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 поддержки*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tabs>
                <w:tab w:val="left" w:pos="408"/>
              </w:tabs>
              <w:ind w:left="560" w:hanging="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ind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Выбор значения из справочника:</w:t>
            </w:r>
          </w:p>
          <w:p w:rsidR="001E4866" w:rsidRDefault="00693048">
            <w:pPr>
              <w:pStyle w:val="aa"/>
              <w:ind w:left="160"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Комплексные меры поддержки</w:t>
            </w: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524"/>
              </w:tabs>
              <w:ind w:left="380"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государственно-частное партнерство</w:t>
            </w: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514"/>
              </w:tabs>
              <w:ind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концессии</w:t>
            </w: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514"/>
              </w:tabs>
              <w:ind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программа 1704</w:t>
            </w:r>
          </w:p>
          <w:p w:rsidR="001E4866" w:rsidRDefault="00693048">
            <w:pPr>
              <w:pStyle w:val="aa"/>
              <w:tabs>
                <w:tab w:val="left" w:pos="51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соглашения о защите  </w:t>
            </w:r>
          </w:p>
          <w:p w:rsidR="001E4866" w:rsidRDefault="00693048">
            <w:pPr>
              <w:pStyle w:val="aa"/>
              <w:ind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и </w:t>
            </w:r>
            <w:proofErr w:type="gramStart"/>
            <w:r>
              <w:rPr>
                <w:sz w:val="24"/>
                <w:szCs w:val="24"/>
                <w:lang w:eastAsia="ru-RU"/>
              </w:rPr>
              <w:t>поощрении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капиталовложений</w:t>
            </w:r>
          </w:p>
          <w:p w:rsidR="001E4866" w:rsidRDefault="00693048">
            <w:pPr>
              <w:pStyle w:val="aa"/>
              <w:ind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Финансовые меры поддержки</w:t>
            </w: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519"/>
              </w:tabs>
              <w:ind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и гранты</w:t>
            </w: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524"/>
              </w:tabs>
              <w:ind w:left="380"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льготное кредитование и </w:t>
            </w:r>
            <w:r>
              <w:rPr>
                <w:sz w:val="24"/>
                <w:szCs w:val="24"/>
                <w:lang w:eastAsia="ru-RU"/>
              </w:rPr>
              <w:t>гарантии</w:t>
            </w: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514"/>
              </w:tabs>
              <w:ind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налоговые и тарифные льготы</w:t>
            </w: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524"/>
              </w:tabs>
              <w:ind w:left="380"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финансовые меры поддержки</w:t>
            </w: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783"/>
              </w:tabs>
              <w:ind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льготы по аренде</w:t>
            </w:r>
          </w:p>
          <w:p w:rsidR="001E4866" w:rsidRDefault="00693048">
            <w:pPr>
              <w:pStyle w:val="aa"/>
              <w:ind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Нефинансовые меры поддержки</w:t>
            </w: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514"/>
              </w:tabs>
              <w:ind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консультационная поддержка</w:t>
            </w: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519"/>
              </w:tabs>
              <w:ind w:firstLine="2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мораторий на проверки</w:t>
            </w: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51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образовательная поддержка</w:t>
            </w:r>
          </w:p>
          <w:p w:rsidR="001E4866" w:rsidRDefault="001E4866">
            <w:pPr>
              <w:pStyle w:val="aa"/>
              <w:tabs>
                <w:tab w:val="left" w:pos="519"/>
              </w:tabs>
              <w:rPr>
                <w:sz w:val="24"/>
                <w:szCs w:val="24"/>
                <w:lang w:eastAsia="ru-RU"/>
              </w:rPr>
            </w:pP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529"/>
              </w:tabs>
              <w:ind w:left="27" w:hanging="2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сопровождение проектов по принципу «одного окна»</w:t>
            </w:r>
          </w:p>
          <w:p w:rsidR="001E4866" w:rsidRDefault="00693048">
            <w:pPr>
              <w:pStyle w:val="aa"/>
              <w:numPr>
                <w:ilvl w:val="0"/>
                <w:numId w:val="13"/>
              </w:numPr>
              <w:tabs>
                <w:tab w:val="left" w:pos="514"/>
              </w:tabs>
              <w:ind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экспортная </w:t>
            </w:r>
            <w:r>
              <w:rPr>
                <w:sz w:val="24"/>
                <w:szCs w:val="24"/>
                <w:lang w:eastAsia="ru-RU"/>
              </w:rPr>
              <w:t>поддержка</w:t>
            </w:r>
          </w:p>
          <w:p w:rsidR="001E4866" w:rsidRDefault="00693048">
            <w:pPr>
              <w:pStyle w:val="aa"/>
              <w:tabs>
                <w:tab w:val="left" w:pos="408"/>
              </w:tabs>
              <w:ind w:left="560" w:hanging="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нефинансовые меры поддержки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поддержки*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tabs>
                <w:tab w:val="left" w:pos="408"/>
              </w:tabs>
              <w:ind w:left="2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Значение предустановлено для каталога: региональные меры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механизма*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tabs>
                <w:tab w:val="left" w:pos="408"/>
              </w:tabs>
              <w:ind w:left="2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Краткое описание содержания меры поддержки, предоставляемых преференций и льгот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tabs>
                <w:tab w:val="left" w:pos="408"/>
              </w:tabs>
              <w:ind w:left="2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Наименование, дата, номер основного </w:t>
            </w:r>
            <w:proofErr w:type="spellStart"/>
            <w:r>
              <w:rPr>
                <w:sz w:val="24"/>
                <w:szCs w:val="24"/>
                <w:lang w:eastAsia="ru-RU"/>
              </w:rPr>
              <w:t>НПА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мере поддержки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vAlign w:val="bottom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ответственного органа власти, администрирующего данную меру поддержки*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tabs>
                <w:tab w:val="left" w:pos="408"/>
              </w:tabs>
              <w:ind w:left="5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 для указания в публичном доступе (ФИО,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телефона)*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tabs>
                <w:tab w:val="left" w:pos="27"/>
              </w:tabs>
              <w:ind w:firstLine="2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Контакт, по которому можно </w:t>
            </w:r>
            <w:r>
              <w:rPr>
                <w:sz w:val="24"/>
                <w:szCs w:val="24"/>
                <w:lang w:eastAsia="ru-RU"/>
              </w:rPr>
              <w:t>получить консультацию о содержании и порядке получения меры поддержки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объем инвестиций,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Указывается, если для получения меры поддержки установлен нижний порог объема инвестиций (в млн. руб.)</w:t>
            </w:r>
          </w:p>
          <w:p w:rsidR="001E4866" w:rsidRDefault="00693048">
            <w:pPr>
              <w:pStyle w:val="aa"/>
              <w:tabs>
                <w:tab w:val="left" w:pos="408"/>
              </w:tabs>
              <w:ind w:left="27" w:hanging="2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случае</w:t>
            </w:r>
            <w:proofErr w:type="gramStart"/>
            <w:r>
              <w:rPr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если минимальный объем </w:t>
            </w:r>
            <w:r>
              <w:rPr>
                <w:sz w:val="24"/>
                <w:szCs w:val="24"/>
                <w:lang w:eastAsia="ru-RU"/>
              </w:rPr>
              <w:t xml:space="preserve">инвестиций не </w:t>
            </w:r>
            <w:r>
              <w:rPr>
                <w:sz w:val="24"/>
                <w:szCs w:val="24"/>
                <w:lang w:eastAsia="ru-RU"/>
              </w:rPr>
              <w:lastRenderedPageBreak/>
              <w:t>установлен, указывается «Не установлен»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tabs>
                <w:tab w:val="left" w:pos="408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Выбираются </w:t>
            </w:r>
            <w:r>
              <w:rPr>
                <w:b/>
                <w:bCs/>
                <w:sz w:val="24"/>
                <w:szCs w:val="24"/>
                <w:u w:val="single"/>
                <w:lang w:eastAsia="ru-RU"/>
              </w:rPr>
              <w:t>все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ОКВЭД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деятельность по которым разрешена </w:t>
            </w:r>
            <w:r>
              <w:rPr>
                <w:sz w:val="24"/>
                <w:szCs w:val="24"/>
                <w:lang w:eastAsia="ru-RU"/>
              </w:rPr>
              <w:t>резидентам объекта преференциального режима / инфраструктуры поддержки либо вариант «</w:t>
            </w:r>
            <w:r>
              <w:rPr>
                <w:b/>
                <w:bCs/>
                <w:sz w:val="24"/>
                <w:szCs w:val="24"/>
                <w:lang w:eastAsia="ru-RU"/>
              </w:rPr>
              <w:t>Без ограничений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по видам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spacing w:after="2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Указываются ограничения по видам деятельности, установленные </w:t>
            </w:r>
            <w:proofErr w:type="spellStart"/>
            <w:r>
              <w:rPr>
                <w:sz w:val="24"/>
                <w:szCs w:val="24"/>
                <w:lang w:eastAsia="ru-RU"/>
              </w:rPr>
              <w:t>НПА</w:t>
            </w:r>
            <w:proofErr w:type="spellEnd"/>
          </w:p>
          <w:p w:rsidR="001E4866" w:rsidRDefault="00693048">
            <w:pPr>
              <w:pStyle w:val="aa"/>
              <w:tabs>
                <w:tab w:val="left" w:pos="408"/>
              </w:tabs>
              <w:ind w:left="2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отсутствии ограничений: «Ограничения не установлены»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вхождение в реестр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1" w:type="dxa"/>
            <w:vAlign w:val="bottom"/>
          </w:tcPr>
          <w:p w:rsidR="001E4866" w:rsidRDefault="00693048">
            <w:pPr>
              <w:pStyle w:val="aa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значения из справочника:</w:t>
            </w:r>
          </w:p>
          <w:p w:rsidR="001E4866" w:rsidRDefault="00693048">
            <w:pPr>
              <w:pStyle w:val="aa"/>
              <w:numPr>
                <w:ilvl w:val="0"/>
                <w:numId w:val="14"/>
              </w:numPr>
              <w:tabs>
                <w:tab w:val="left" w:pos="178"/>
              </w:tabs>
              <w:ind w:hanging="1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</w:t>
            </w:r>
          </w:p>
          <w:p w:rsidR="001E4866" w:rsidRDefault="00693048">
            <w:pPr>
              <w:pStyle w:val="aa"/>
              <w:numPr>
                <w:ilvl w:val="0"/>
                <w:numId w:val="14"/>
              </w:numPr>
              <w:tabs>
                <w:tab w:val="left" w:pos="178"/>
              </w:tabs>
              <w:ind w:left="2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заявителю*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tabs>
                <w:tab w:val="left" w:pos="408"/>
              </w:tabs>
              <w:ind w:firstLine="2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Краткое </w:t>
            </w:r>
            <w:r>
              <w:rPr>
                <w:sz w:val="24"/>
                <w:szCs w:val="24"/>
                <w:lang w:eastAsia="ru-RU"/>
              </w:rPr>
              <w:t>тезисное описание требований к проекту и к организации (</w:t>
            </w:r>
            <w:proofErr w:type="spellStart"/>
            <w:r>
              <w:rPr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sz w:val="24"/>
                <w:szCs w:val="24"/>
                <w:lang w:eastAsia="ru-RU"/>
              </w:rPr>
              <w:t>) для получения меры поддержки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подачи заявки*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Необходима следующая информация:</w:t>
            </w:r>
          </w:p>
          <w:p w:rsidR="001E4866" w:rsidRDefault="00693048">
            <w:pPr>
              <w:pStyle w:val="aa"/>
              <w:numPr>
                <w:ilvl w:val="0"/>
                <w:numId w:val="15"/>
              </w:numPr>
              <w:tabs>
                <w:tab w:val="left" w:pos="139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куда подать заявку на предоставление меры поддержи;</w:t>
            </w:r>
          </w:p>
          <w:p w:rsidR="001E4866" w:rsidRDefault="00693048">
            <w:pPr>
              <w:pStyle w:val="aa"/>
              <w:tabs>
                <w:tab w:val="left" w:pos="408"/>
              </w:tabs>
              <w:ind w:left="5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как и в какие </w:t>
            </w:r>
            <w:proofErr w:type="gramStart"/>
            <w:r>
              <w:rPr>
                <w:sz w:val="24"/>
                <w:szCs w:val="24"/>
                <w:lang w:eastAsia="ru-RU"/>
              </w:rPr>
              <w:t>сроки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она </w:t>
            </w:r>
            <w:r>
              <w:rPr>
                <w:sz w:val="24"/>
                <w:szCs w:val="24"/>
                <w:lang w:eastAsia="ru-RU"/>
              </w:rPr>
              <w:lastRenderedPageBreak/>
              <w:t>будет рассмотрена;</w:t>
            </w:r>
          </w:p>
          <w:p w:rsidR="001E4866" w:rsidRDefault="00693048">
            <w:pPr>
              <w:pStyle w:val="aa"/>
              <w:tabs>
                <w:tab w:val="left" w:pos="408"/>
              </w:tabs>
              <w:ind w:left="2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какие </w:t>
            </w:r>
            <w:r>
              <w:rPr>
                <w:sz w:val="24"/>
                <w:szCs w:val="24"/>
                <w:lang w:eastAsia="ru-RU"/>
              </w:rPr>
              <w:t>процедуры (конкурса, согласования и т.д.) должны быть пройдены для принятия решения о предоставлении меры поддержки</w:t>
            </w:r>
          </w:p>
        </w:tc>
      </w:tr>
      <w:tr w:rsidR="001E4866">
        <w:tc>
          <w:tcPr>
            <w:tcW w:w="653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</w:tcPr>
          <w:p w:rsidR="001E4866" w:rsidRDefault="001E486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1E4866" w:rsidRDefault="0069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3211" w:type="dxa"/>
          </w:tcPr>
          <w:p w:rsidR="001E4866" w:rsidRDefault="00693048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Перечень документов, которые должны быть предоставлены заявителем (краткое понятное перечисление, а не выписка из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НПА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</w:tr>
    </w:tbl>
    <w:p w:rsidR="001E4866" w:rsidRDefault="001E4866">
      <w:pPr>
        <w:rPr>
          <w:rFonts w:ascii="Times New Roman" w:hAnsi="Times New Roman" w:cs="Times New Roman"/>
          <w:sz w:val="24"/>
          <w:szCs w:val="24"/>
        </w:rPr>
      </w:pPr>
    </w:p>
    <w:p w:rsidR="001E4866" w:rsidRDefault="00693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Обязательные атрибуты. В случае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если не заполнен какой-либо из обязательных атрибутов, запись не сохраняется.</w:t>
      </w:r>
    </w:p>
    <w:sectPr w:rsidR="001E4866">
      <w:headerReference w:type="default" r:id="rId8"/>
      <w:pgSz w:w="16838" w:h="11906" w:orient="landscape"/>
      <w:pgMar w:top="1701" w:right="964" w:bottom="567" w:left="1134" w:header="1134" w:footer="56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66" w:rsidRDefault="00693048">
      <w:pPr>
        <w:spacing w:line="240" w:lineRule="auto"/>
      </w:pPr>
      <w:r>
        <w:separator/>
      </w:r>
    </w:p>
  </w:endnote>
  <w:endnote w:type="continuationSeparator" w:id="0">
    <w:p w:rsidR="001E4866" w:rsidRDefault="00693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66" w:rsidRDefault="00693048">
      <w:pPr>
        <w:spacing w:after="0"/>
      </w:pPr>
      <w:r>
        <w:separator/>
      </w:r>
    </w:p>
  </w:footnote>
  <w:footnote w:type="continuationSeparator" w:id="0">
    <w:p w:rsidR="001E4866" w:rsidRDefault="006930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9988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4866" w:rsidRDefault="0069304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561211"/>
    <w:multiLevelType w:val="singleLevel"/>
    <w:tmpl w:val="BA561211"/>
    <w:lvl w:ilvl="0">
      <w:start w:val="1"/>
      <w:numFmt w:val="decimal"/>
      <w:suff w:val="space"/>
      <w:lvlText w:val="%1)"/>
      <w:lvlJc w:val="left"/>
    </w:lvl>
  </w:abstractNum>
  <w:abstractNum w:abstractNumId="1">
    <w:nsid w:val="00DF219F"/>
    <w:multiLevelType w:val="multilevel"/>
    <w:tmpl w:val="00DF219F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F00E2"/>
    <w:multiLevelType w:val="multilevel"/>
    <w:tmpl w:val="0C3F00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995911"/>
    <w:multiLevelType w:val="multilevel"/>
    <w:tmpl w:val="0D995911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61076"/>
    <w:multiLevelType w:val="multilevel"/>
    <w:tmpl w:val="108610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B59DC"/>
    <w:multiLevelType w:val="multilevel"/>
    <w:tmpl w:val="1D6B59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21B18"/>
    <w:multiLevelType w:val="multilevel"/>
    <w:tmpl w:val="25321B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6573E"/>
    <w:multiLevelType w:val="multilevel"/>
    <w:tmpl w:val="2FD65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1A3A00"/>
    <w:multiLevelType w:val="multilevel"/>
    <w:tmpl w:val="331A3A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C2318"/>
    <w:multiLevelType w:val="multilevel"/>
    <w:tmpl w:val="48BC2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D68F9"/>
    <w:multiLevelType w:val="multilevel"/>
    <w:tmpl w:val="664D68F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76691"/>
    <w:multiLevelType w:val="multilevel"/>
    <w:tmpl w:val="78576691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9E630B"/>
    <w:multiLevelType w:val="multilevel"/>
    <w:tmpl w:val="799E630B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F747F0"/>
    <w:multiLevelType w:val="multilevel"/>
    <w:tmpl w:val="7DF747F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500D24"/>
    <w:multiLevelType w:val="multilevel"/>
    <w:tmpl w:val="7E500D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14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7"/>
    <w:rsid w:val="00007F64"/>
    <w:rsid w:val="00010CCD"/>
    <w:rsid w:val="00016699"/>
    <w:rsid w:val="00025A33"/>
    <w:rsid w:val="000428AE"/>
    <w:rsid w:val="00050702"/>
    <w:rsid w:val="0006343A"/>
    <w:rsid w:val="00082DD6"/>
    <w:rsid w:val="00097DB7"/>
    <w:rsid w:val="00135DEE"/>
    <w:rsid w:val="001A4B22"/>
    <w:rsid w:val="001B6BCF"/>
    <w:rsid w:val="001E4866"/>
    <w:rsid w:val="001E6667"/>
    <w:rsid w:val="00210F8D"/>
    <w:rsid w:val="0023269C"/>
    <w:rsid w:val="00232EF9"/>
    <w:rsid w:val="002948DC"/>
    <w:rsid w:val="003266BF"/>
    <w:rsid w:val="003367DF"/>
    <w:rsid w:val="0037342B"/>
    <w:rsid w:val="003A2F52"/>
    <w:rsid w:val="003B43C8"/>
    <w:rsid w:val="00425371"/>
    <w:rsid w:val="004E57EF"/>
    <w:rsid w:val="005011E1"/>
    <w:rsid w:val="00566098"/>
    <w:rsid w:val="005B5950"/>
    <w:rsid w:val="005B76A6"/>
    <w:rsid w:val="005E2DD3"/>
    <w:rsid w:val="005F2750"/>
    <w:rsid w:val="00600007"/>
    <w:rsid w:val="00646BD7"/>
    <w:rsid w:val="00693048"/>
    <w:rsid w:val="006B70D5"/>
    <w:rsid w:val="006D15A6"/>
    <w:rsid w:val="00721D7A"/>
    <w:rsid w:val="00722758"/>
    <w:rsid w:val="007D5A9D"/>
    <w:rsid w:val="007F2C42"/>
    <w:rsid w:val="008152E3"/>
    <w:rsid w:val="008441E8"/>
    <w:rsid w:val="008D0F17"/>
    <w:rsid w:val="008D5DB9"/>
    <w:rsid w:val="00944861"/>
    <w:rsid w:val="00971463"/>
    <w:rsid w:val="009A5B06"/>
    <w:rsid w:val="009B362E"/>
    <w:rsid w:val="00A117BA"/>
    <w:rsid w:val="00A11966"/>
    <w:rsid w:val="00A83C0E"/>
    <w:rsid w:val="00C32CC9"/>
    <w:rsid w:val="00CD2E64"/>
    <w:rsid w:val="00CE10AD"/>
    <w:rsid w:val="00D46806"/>
    <w:rsid w:val="00D5370F"/>
    <w:rsid w:val="00D6075D"/>
    <w:rsid w:val="00E1009D"/>
    <w:rsid w:val="00E5791B"/>
    <w:rsid w:val="00F27B64"/>
    <w:rsid w:val="00F410C8"/>
    <w:rsid w:val="00FD166A"/>
    <w:rsid w:val="00FE7C99"/>
    <w:rsid w:val="0D293931"/>
    <w:rsid w:val="36E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locked/>
    <w:rPr>
      <w:b/>
      <w:bCs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8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4">
    <w:name w:val="Заголовок №4_"/>
    <w:basedOn w:val="a0"/>
    <w:link w:val="40"/>
    <w:rPr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widowControl w:val="0"/>
      <w:jc w:val="center"/>
      <w:outlineLvl w:val="3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locked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character" w:customStyle="1" w:styleId="extendedtext-short">
    <w:name w:val="extendedtext-short"/>
    <w:basedOn w:val="a0"/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organictextcontentspan">
    <w:name w:val="organictextcontentspan"/>
    <w:basedOn w:val="a0"/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color w:val="4D4D4D"/>
      <w:sz w:val="8"/>
      <w:szCs w:val="8"/>
    </w:rPr>
  </w:style>
  <w:style w:type="paragraph" w:customStyle="1" w:styleId="50">
    <w:name w:val="Основной текст (5)"/>
    <w:basedOn w:val="a"/>
    <w:link w:val="5"/>
    <w:pPr>
      <w:widowControl w:val="0"/>
      <w:spacing w:after="80" w:line="276" w:lineRule="auto"/>
    </w:pPr>
    <w:rPr>
      <w:rFonts w:ascii="Arial" w:eastAsia="Arial" w:hAnsi="Arial" w:cs="Arial"/>
      <w:b/>
      <w:bCs/>
      <w:color w:val="4D4D4D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locked/>
    <w:rPr>
      <w:b/>
      <w:bCs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8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4">
    <w:name w:val="Заголовок №4_"/>
    <w:basedOn w:val="a0"/>
    <w:link w:val="40"/>
    <w:rPr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widowControl w:val="0"/>
      <w:jc w:val="center"/>
      <w:outlineLvl w:val="3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locked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character" w:customStyle="1" w:styleId="extendedtext-short">
    <w:name w:val="extendedtext-short"/>
    <w:basedOn w:val="a0"/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organictextcontentspan">
    <w:name w:val="organictextcontentspan"/>
    <w:basedOn w:val="a0"/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color w:val="4D4D4D"/>
      <w:sz w:val="8"/>
      <w:szCs w:val="8"/>
    </w:rPr>
  </w:style>
  <w:style w:type="paragraph" w:customStyle="1" w:styleId="50">
    <w:name w:val="Основной текст (5)"/>
    <w:basedOn w:val="a"/>
    <w:link w:val="5"/>
    <w:pPr>
      <w:widowControl w:val="0"/>
      <w:spacing w:after="80" w:line="276" w:lineRule="auto"/>
    </w:pPr>
    <w:rPr>
      <w:rFonts w:ascii="Arial" w:eastAsia="Arial" w:hAnsi="Arial" w:cs="Arial"/>
      <w:b/>
      <w:bCs/>
      <w:color w:val="4D4D4D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Церунян Ирина</dc:creator>
  <cp:lastModifiedBy>Федосеенко Татьяна Викторовна</cp:lastModifiedBy>
  <cp:revision>3</cp:revision>
  <cp:lastPrinted>2024-02-29T13:36:00Z</cp:lastPrinted>
  <dcterms:created xsi:type="dcterms:W3CDTF">2024-04-03T13:42:00Z</dcterms:created>
  <dcterms:modified xsi:type="dcterms:W3CDTF">2024-04-04T06:32:00Z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F2A3D517F0B640BC9AC1C3460CCB3DBA</vt:lpwstr>
  </property>
</Properties>
</file>