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48E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1EFF4B64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 </w:t>
      </w:r>
      <w:proofErr w:type="spellStart"/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Новоазовского</w:t>
      </w:r>
      <w:proofErr w:type="spellEnd"/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C10D2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</w:t>
      </w:r>
    </w:p>
    <w:p w14:paraId="5B1E2BCB" w14:textId="722A2C35" w:rsidR="00EA22BA" w:rsidRPr="00164F3C" w:rsidRDefault="00EA22BA" w:rsidP="00EA22B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4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164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164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2023</w:t>
      </w:r>
      <w:r w:rsidRPr="00E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4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I-1/7</w:t>
      </w:r>
      <w:bookmarkStart w:id="0" w:name="_GoBack"/>
      <w:bookmarkEnd w:id="0"/>
    </w:p>
    <w:p w14:paraId="2F82ECFA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11AE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51866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избрания главы вновь образованного </w:t>
      </w:r>
    </w:p>
    <w:p w14:paraId="6755F93D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Новоазовского</w:t>
      </w:r>
      <w:proofErr w:type="spellEnd"/>
      <w:r w:rsidRPr="00E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</w:t>
      </w:r>
      <w:proofErr w:type="gramEnd"/>
    </w:p>
    <w:p w14:paraId="6847807C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14:paraId="1A190165" w14:textId="77777777" w:rsidR="00EA22BA" w:rsidRPr="00EA22BA" w:rsidRDefault="00EA22BA" w:rsidP="00EA2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74C31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1. Глава вновь образованного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EA22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округа Донецкой Народной Республики избирается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Новоазовским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муниципальным советом Донецкой Народной Республики из числа кандидатов, представленных Главой Донецкой Народной Республики, и возглавляет местную администрацию - Администрацию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EA22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2BA">
        <w:rPr>
          <w:rFonts w:ascii="Times New Roman" w:eastAsia="Calibri" w:hAnsi="Times New Roman" w:cs="Times New Roman"/>
          <w:sz w:val="28"/>
          <w:szCs w:val="28"/>
        </w:rPr>
        <w:t>округа Донецкой Народной Республики (далее - глава муниципального образования).</w:t>
      </w:r>
    </w:p>
    <w:p w14:paraId="4C12DF19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избирается тайным голосованием </w:t>
      </w:r>
      <w:r w:rsidRPr="00EA22BA"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бюллетеней на срок полномочий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Республики.</w:t>
      </w:r>
    </w:p>
    <w:p w14:paraId="0B05A01F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>2. Кандидатуры на должность главы муниципального образования, представленные Главой Донецкой Народной Республики, включаются в список для тайного голосования.</w:t>
      </w:r>
    </w:p>
    <w:p w14:paraId="71DC7729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3. В ходе обсуждения, которое проводится по всем кандидатурам, кандидаты могут выступить на заседании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Республики, изложить свою программу и ответить на вопросы депутатов. Очередность выступлений кандидатов определяется последовательностью их выдвижения. </w:t>
      </w:r>
    </w:p>
    <w:p w14:paraId="31D45F0D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>4. Голосование проводится по всем кандидатурам, представленным Главой Донецкой Народной Республики, за исключением лиц, взявших самоотвод. Самоотвод принимается без голосования.</w:t>
      </w:r>
    </w:p>
    <w:p w14:paraId="3B4F32A4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5. Кандидат считается избранным, если за него проголосовало большинство от установленного числа депутатов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Республики.</w:t>
      </w:r>
    </w:p>
    <w:p w14:paraId="68568AE7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6. По итогам тайного голосования оформляется решение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 об избрании главы муниципального образования.</w:t>
      </w:r>
    </w:p>
    <w:p w14:paraId="5B1BAB24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Решение об избрании главы муниципального образования оглашается председательствующим на заседании и обнародуется путем размещения </w:t>
      </w:r>
      <w:r w:rsidRPr="00EA22BA">
        <w:rPr>
          <w:rFonts w:ascii="Times New Roman" w:eastAsia="Calibri" w:hAnsi="Times New Roman" w:cs="Times New Roman"/>
          <w:sz w:val="28"/>
          <w:szCs w:val="28"/>
        </w:rPr>
        <w:br/>
        <w:t>в официальном периодическом печатном издании газете «Родное Приазовье».</w:t>
      </w:r>
    </w:p>
    <w:p w14:paraId="4F815B25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Протоколы счетной комиссии, бюллетени тайного голосования </w:t>
      </w:r>
      <w:r w:rsidRPr="00EA22BA">
        <w:rPr>
          <w:rFonts w:ascii="Times New Roman" w:eastAsia="Calibri" w:hAnsi="Times New Roman" w:cs="Times New Roman"/>
          <w:sz w:val="28"/>
          <w:szCs w:val="28"/>
        </w:rPr>
        <w:br/>
        <w:t xml:space="preserve">(в запечатанном конверте) приобщаются к протоколу заседания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22BA">
        <w:rPr>
          <w:rFonts w:ascii="Times New Roman" w:eastAsia="Calibri" w:hAnsi="Times New Roman" w:cs="Times New Roman"/>
          <w:sz w:val="28"/>
          <w:szCs w:val="28"/>
        </w:rPr>
        <w:t>муниципального  совета</w:t>
      </w:r>
      <w:proofErr w:type="gram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Республики.</w:t>
      </w:r>
    </w:p>
    <w:p w14:paraId="309276D4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7. При вступлении в должность глава муниципального образования в присутствии депутатов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 приносит присягу: «Клянусь добросовестно исполнять полномочия главы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EA22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округа Донецкой Народной Республики,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Донецкой Народной Республики».</w:t>
      </w:r>
    </w:p>
    <w:p w14:paraId="7DE57B6D" w14:textId="77777777" w:rsidR="00EA22BA" w:rsidRPr="00EA22BA" w:rsidRDefault="00EA22BA" w:rsidP="00EA22BA">
      <w:pPr>
        <w:spacing w:after="1" w:line="27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>8. Глава муниципального образования с момента принесения присяги считается вступившим в должность.</w:t>
      </w:r>
    </w:p>
    <w:p w14:paraId="67BD11AF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>9. Проведение тайного голосования с использованием бюллетеней по избранию главы муниципального образования и определение результатов тайного голосования обеспечивает счетная комиссия.</w:t>
      </w:r>
    </w:p>
    <w:p w14:paraId="5B5C67F9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10. Бюллетени для тайного голосования изготавливаются в количестве, соответствующем числу избранных депутатов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EA22B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30DAFE6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11. В бюллетене для тайного голосования указываются фамилия, имя, отчество каждого кандидата. В бюллетене в обязательном порядке указываются варианты «за», «против», «воздержался». </w:t>
      </w:r>
    </w:p>
    <w:p w14:paraId="3F21C85F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12. Выдача бюллетеней для тайного голосования проводится перед началом голосования счетной комиссией в соответствии со списком по предъявлении депутатом удостоверения. Каждому депутату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 выдается один бюллетень по выборам главы муниципального образования. При получении бюллетеня депутат расписывается напротив своей фамилии в указанном списке. Заполнение бюллетеней производится депутатами во время перерыва, специально объявленного в заседании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 для проведения тайного голосования, путем проставления в бюллетене выбранного варианта «за» напротив фамилии кандидата, за которого он голосует. </w:t>
      </w:r>
    </w:p>
    <w:p w14:paraId="0E10B8BD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>После заполнения бюллетень для тайного голосования опускается в урну для голосования, опечатанную счетной комиссией. Счетная комиссия обязана создать условия для тайного голосования. 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14:paraId="328BD512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lastRenderedPageBreak/>
        <w:t>13. О результатах тайного голосования счетная комиссия составляет протокол, который подписывается всеми членами комиссии.</w:t>
      </w:r>
    </w:p>
    <w:p w14:paraId="3979E609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14. С информацией о результатах тайного голосования на заседании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 выступает председатель счетной комиссии. На основании информации председателя счетной комиссии председательствующий называет кандидатуру, избранную главой муниципального образования.</w:t>
      </w:r>
    </w:p>
    <w:p w14:paraId="147AC096" w14:textId="77777777" w:rsidR="00EA22BA" w:rsidRPr="00EA22BA" w:rsidRDefault="00EA22BA" w:rsidP="00EA22BA">
      <w:pPr>
        <w:spacing w:after="1" w:line="27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15. Результаты тайного голосования отражаются в протоколе счетной комиссии, который подписывается всеми ее членами, и утверждаются </w:t>
      </w:r>
      <w:proofErr w:type="spellStart"/>
      <w:r w:rsidRPr="00EA22BA">
        <w:rPr>
          <w:rFonts w:ascii="Times New Roman" w:eastAsia="Calibri" w:hAnsi="Times New Roman" w:cs="Times New Roman"/>
          <w:sz w:val="28"/>
          <w:szCs w:val="28"/>
        </w:rPr>
        <w:t>Новоазовским</w:t>
      </w:r>
      <w:proofErr w:type="spellEnd"/>
      <w:r w:rsidRPr="00EA22BA">
        <w:rPr>
          <w:rFonts w:ascii="Times New Roman" w:eastAsia="Calibri" w:hAnsi="Times New Roman" w:cs="Times New Roman"/>
          <w:sz w:val="28"/>
          <w:szCs w:val="28"/>
        </w:rPr>
        <w:t xml:space="preserve"> муниципальным советом Донецкой Народной Республики.</w:t>
      </w:r>
    </w:p>
    <w:p w14:paraId="43574E79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A"/>
    <w:rsid w:val="00164F3C"/>
    <w:rsid w:val="00172C39"/>
    <w:rsid w:val="006A140A"/>
    <w:rsid w:val="00781704"/>
    <w:rsid w:val="00B123AF"/>
    <w:rsid w:val="00E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0E14"/>
  <w15:chartTrackingRefBased/>
  <w15:docId w15:val="{3CF3B513-73DA-4F58-84EB-72FC6D2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2024-04-12T11:05:00Z</dcterms:created>
  <dcterms:modified xsi:type="dcterms:W3CDTF">2024-04-12T11:17:00Z</dcterms:modified>
</cp:coreProperties>
</file>