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A482" w14:textId="77777777" w:rsidR="009C2F12" w:rsidRPr="009C2F12" w:rsidRDefault="009C2F12" w:rsidP="009C2F12">
      <w:pPr>
        <w:widowControl w:val="0"/>
        <w:shd w:val="clear" w:color="auto" w:fill="FFFFFF"/>
        <w:suppressAutoHyphens/>
        <w:spacing w:after="1246" w:line="277" w:lineRule="exact"/>
        <w:ind w:left="4253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Приложение к</w:t>
      </w:r>
      <w:r w:rsidRPr="009C2F1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Закону Донецкой Народной Республики</w:t>
      </w:r>
      <w:r w:rsidRPr="009C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наделении органов местного самоуправления муниципальных</w:t>
      </w:r>
      <w:r w:rsidRPr="009C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образований Донецкой Народной Республики отдельными государственными</w:t>
      </w:r>
      <w:r w:rsidRPr="009C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полномочиями </w:t>
      </w:r>
      <w:bookmarkStart w:id="0" w:name="_Hlk168642064"/>
      <w:r w:rsidRPr="009C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Донецкой Народной Республики по обеспечению получения дошкольного образования в государственных дошкольных</w:t>
      </w:r>
      <w:r w:rsidRPr="009C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образовательных организациях, дошкольного, начального общего, основного общего, среднего общего образования в государственных</w:t>
      </w:r>
      <w:r w:rsidRPr="009C2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</w:p>
    <w:bookmarkEnd w:id="0"/>
    <w:p w14:paraId="2E4DE1B9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>МЕТОДИКА</w:t>
      </w:r>
    </w:p>
    <w:p w14:paraId="7CD94F85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 xml:space="preserve">расчета субвенций, предоставляемых из бюджета </w:t>
      </w:r>
      <w:r w:rsidRPr="009C2F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br/>
        <w:t xml:space="preserve">Донецкой Народной Республики бюджетам муниципальных образований </w:t>
      </w:r>
      <w:r w:rsidRPr="009C2F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br/>
        <w:t>на осуществление отдельных государственных полномочий Донецкой Народной Республики по обеспечению получения дошкольного образования в государственных дошкольных образовательных организациях, дошкольного, начального общего, основного общего, среднего общего образования в государственных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14:paraId="37CC8EF0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95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</w:pPr>
    </w:p>
    <w:p w14:paraId="3D945D23" w14:textId="77777777" w:rsidR="009C2F12" w:rsidRPr="009C2F12" w:rsidRDefault="009C2F12" w:rsidP="009C2F1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38" w:line="312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объем субвенций, предоставляемых из бюджета Донецкой Народной Республики бюджетам муниципальных образований на осуществление отдельных государственных полномочий Донецкой Народной Республики (С), определяется по формуле:</w:t>
      </w:r>
    </w:p>
    <w:p w14:paraId="7FC5DA48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38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45402CD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3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 w:bidi="ru-RU"/>
          </w:rPr>
          <m:t>C=</m:t>
        </m:r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i</m:t>
                    </m:r>
                  </m:sub>
                </m:sSub>
              </m:e>
            </m:d>
          </m:e>
        </m:nary>
      </m:oMath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</w:p>
    <w:p w14:paraId="05FC5C0D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где: </w:t>
      </w:r>
    </w:p>
    <w:p w14:paraId="3D640F94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9C2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 w:bidi="ru-RU"/>
        </w:rPr>
        <w:t>i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размер субвенции бюджету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  <w:t xml:space="preserve">-го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организацию осуществления отдельных государственных полномочий;</w:t>
      </w:r>
    </w:p>
    <w:p w14:paraId="42B664BA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</w:t>
      </w:r>
      <w:r w:rsidRPr="009C2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 w:bidi="ru-RU"/>
        </w:rPr>
        <w:t>i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–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 субвенции бюджету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 обеспечение получения дошкольного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государственных дошкольных образовательных организациях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государственных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общеобразовательных организациях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A4303BE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S</w:t>
      </w:r>
      <w:r w:rsidRPr="009C2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bidi="en-US"/>
        </w:rPr>
        <w:t>i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–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 субвенции бюджету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 обеспечение получения начального общего, основного общего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среднего общего образования.</w:t>
      </w:r>
    </w:p>
    <w:p w14:paraId="27F37780" w14:textId="77777777" w:rsidR="009C2F12" w:rsidRPr="009C2F12" w:rsidRDefault="009C2F12" w:rsidP="009C2F1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 (критериями) распределения между муниципальными образованиями общего объема субвенций являются:</w:t>
      </w:r>
    </w:p>
    <w:p w14:paraId="423C3D6B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ставок, необходимое для выполнения отдельных государственных полномочий в муниципальном образовании, определяемое исходя из количества получателей субсидий;</w:t>
      </w:r>
    </w:p>
    <w:p w14:paraId="1C0D1C7F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прогнозируемая на очередной финансовый год среднегодовая численность воспитанников, получающих дошкольное образование в государственных дошкольных образовательных организациях, в государственных общеобразовательных организациях.</w:t>
      </w:r>
    </w:p>
    <w:p w14:paraId="3E0AF9D2" w14:textId="77777777" w:rsidR="009C2F12" w:rsidRPr="009C2F12" w:rsidRDefault="009C2F12" w:rsidP="009C2F1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субвенции бюджету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 обеспечение получения дошкольного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государственных дошкольных образовательных организациях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государственных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общеобразовательных организациях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</w:t>
      </w:r>
      <w:r w:rsidRPr="009C2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 w:bidi="ru-RU"/>
        </w:rPr>
        <w:t>i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bookmarkStart w:id="1" w:name="_Hlk168397776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определяется по формуле:</w:t>
      </w:r>
    </w:p>
    <w:bookmarkEnd w:id="1"/>
    <w:p w14:paraId="461EC448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 w:bidi="ru-RU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pnh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pnh</m:t>
                    </m:r>
                  </m:sub>
                </m:sSub>
              </m:e>
            </m:d>
          </m:e>
        </m:nary>
      </m:oMath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</w:p>
    <w:p w14:paraId="255CD394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где:</w:t>
      </w:r>
    </w:p>
    <w:p w14:paraId="752D8AF0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вид группы дошкольного образования;</w:t>
      </w:r>
    </w:p>
    <w:p w14:paraId="6F37FF89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–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 воспитанников (до трех лет, старше трех лет);</w:t>
      </w:r>
    </w:p>
    <w:p w14:paraId="52532FC4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время пребывания в группе воспитанников;</w:t>
      </w:r>
    </w:p>
    <w:p w14:paraId="5C5C5BED" w14:textId="77777777" w:rsidR="009C2F12" w:rsidRPr="009C2F12" w:rsidRDefault="009C2F12" w:rsidP="009C2F12">
      <w:pPr>
        <w:widowControl w:val="0"/>
        <w:shd w:val="clear" w:color="auto" w:fill="FFFFFF"/>
        <w:tabs>
          <w:tab w:val="left" w:pos="1134"/>
        </w:tabs>
        <w:suppressAutoHyphens/>
        <w:spacing w:before="360" w:after="6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C2F1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 w:bidi="ru-RU"/>
        </w:rPr>
        <w:t>pnh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–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 финансирования расходов на реализацию образовательных программ дошкольного образования в государственных дошкольных образовательных организациях и государственных общеобразовательных организациях в расчете на одного воспитанника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p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-й группы,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-го возраста, с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 временем пребывания в год;</w:t>
      </w:r>
    </w:p>
    <w:p w14:paraId="5E3F7840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9C2F1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 w:bidi="ru-RU"/>
        </w:rPr>
        <w:t>pnh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численность воспитанников муниципальных дошкольных образовательных организаций и муниципальных общеобразовательных организаций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p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-й группы,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-го возраста, с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 временем пребывания в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 муниципальном образовании.</w:t>
      </w:r>
    </w:p>
    <w:p w14:paraId="43F51155" w14:textId="77777777" w:rsidR="009C2F12" w:rsidRPr="009C2F12" w:rsidRDefault="009C2F12" w:rsidP="009C2F12">
      <w:pPr>
        <w:widowControl w:val="0"/>
        <w:shd w:val="clear" w:color="auto" w:fill="FFFFFF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расчете объема средств субвенции для обеспечения образовательной программы образовательной организации, реализующей программу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14:paraId="2BA6BACE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Показатель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9C2F1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 w:bidi="ru-RU"/>
        </w:rPr>
        <w:t>pnh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показателем (критерием) распределения общего объема субвенций между муниципальными образованиями. </w:t>
      </w:r>
    </w:p>
    <w:p w14:paraId="36592AE8" w14:textId="77777777" w:rsidR="009C2F12" w:rsidRPr="009C2F12" w:rsidRDefault="009C2F12" w:rsidP="009C2F1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6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субвенции бюджету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 обеспечение получения начального общего, основного общего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среднего общего образования определяется по формуле:</w:t>
      </w:r>
    </w:p>
    <w:p w14:paraId="15CFD75B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166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 w:bidi="ru-RU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sn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sn</m:t>
                    </m:r>
                  </m:sub>
                </m:sSub>
              </m:e>
            </m:d>
          </m:e>
        </m:nary>
      </m:oMath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</w:p>
    <w:p w14:paraId="61858610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где: </w:t>
      </w:r>
    </w:p>
    <w:p w14:paraId="5A750301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вид основной образовательной программы, форма обучения и месторасположение общеобразовательной организации;</w:t>
      </w:r>
    </w:p>
    <w:p w14:paraId="56012C7B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уровень общего образования; </w:t>
      </w:r>
    </w:p>
    <w:p w14:paraId="061452D6" w14:textId="77777777" w:rsidR="009C2F12" w:rsidRPr="009C2F12" w:rsidRDefault="009C2F12" w:rsidP="009C2F12">
      <w:pPr>
        <w:widowControl w:val="0"/>
        <w:shd w:val="clear" w:color="auto" w:fill="FFFFFF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</w:t>
      </w:r>
      <w:r w:rsidRPr="009C2F1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bidi="en-US"/>
        </w:rPr>
        <w:t>sn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–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 финансирования расходов на реализацию образовательных программ начального общего, основного общего, среднего общего образования в государственных общеобразовательных организациях Донецкой Народной Республики в расчете на одного обучающегося по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-му виду,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 уровня образования в год;</w:t>
      </w:r>
    </w:p>
    <w:p w14:paraId="54BAA1A6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Ч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bidi="en-US"/>
        </w:rPr>
        <w:t>sn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численность обучающихся муниципальных общеобразовательных организаций по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-му виду,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-го уровня образования в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 муниципальном образовании в соответствии с данными формы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от 1 марта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2022 года № 99 (далее – форма № ОО-1), на последнюю отчетную дату.</w:t>
      </w:r>
    </w:p>
    <w:p w14:paraId="16D84934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Корректировка размера субвенции, предоставляемой бюджету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-г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образования, в текущем финансовом году производится в случае изменения численности обучающихся – на основании данных формы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№ ОО-1 на последнюю отчетную дату и данных о планируемом введении новых (дополнительных) мест с учетом сроков ввода в эксплуатацию объектов завершенного капитального строительства (приобретенных).</w:t>
      </w:r>
    </w:p>
    <w:p w14:paraId="027D18F3" w14:textId="77777777" w:rsidR="009C2F12" w:rsidRPr="009C2F12" w:rsidRDefault="009C2F12" w:rsidP="009C2F12">
      <w:pPr>
        <w:widowControl w:val="0"/>
        <w:shd w:val="clear" w:color="auto" w:fill="FFFFFF"/>
        <w:tabs>
          <w:tab w:val="left" w:pos="1134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расчете объема субвенций для обеспечения общеобразовательной программы образовательной организации с численностью обучающихся менее 90 человек, находящейся на территории города, при условии, что на территории данного города не функционируют иные общеобразовательные организации, применяются нормативы для общеобразовательных организаций соответствующей численности, расположенных в поселках городского типа (ПГТ).</w:t>
      </w:r>
    </w:p>
    <w:p w14:paraId="1432D994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Показатель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sn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показателем (критерием) распределения между муниципальными образованиями общего объема субвенций. </w:t>
      </w:r>
    </w:p>
    <w:p w14:paraId="7DD1B830" w14:textId="77777777" w:rsidR="009C2F12" w:rsidRPr="009C2F12" w:rsidRDefault="009C2F12" w:rsidP="009C2F1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6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субвенции бюджету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  <w:t xml:space="preserve">-го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организацию осуществления отдельных государственных полномочий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</w:t>
      </w:r>
      <w:r w:rsidRPr="009C2F1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bidi="en-US"/>
        </w:rPr>
        <w:t>i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определяется по формуле:</w:t>
      </w:r>
    </w:p>
    <w:p w14:paraId="71940DD5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166" w:line="276" w:lineRule="auto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 w:bidi="ru-RU"/>
          </w:rPr>
          <m:t>=Н*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Ч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i</m:t>
            </m:r>
          </m:sub>
        </m:sSub>
      </m:oMath>
      <w:r w:rsidRPr="009C2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,</w:t>
      </w:r>
    </w:p>
    <w:p w14:paraId="57E3A315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 </w:t>
      </w:r>
    </w:p>
    <w:p w14:paraId="52F43C76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 – норматив затрат в расчете на одного специалиста (одну ставку), задействованного в выполнении отдельных государственных полномочий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муниципальном образовании;</w:t>
      </w:r>
    </w:p>
    <w:p w14:paraId="7EC060EA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proofErr w:type="spellStart"/>
      <w:r w:rsidRPr="009C2F1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val="en-US" w:eastAsia="ru-RU" w:bidi="ru-RU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количество ставок, необходимое для выполнения отдельных государственных полномочий в </w:t>
      </w:r>
      <w:proofErr w:type="spellStart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 муниципальном образовании, определяемое исходя из количества получателей субсидий:</w:t>
      </w:r>
    </w:p>
    <w:p w14:paraId="35530059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15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Ч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pnh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sn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1000</m:t>
              </m:r>
            </m:den>
          </m:f>
        </m:oMath>
      </m:oMathPara>
    </w:p>
    <w:p w14:paraId="4C411C3D" w14:textId="77777777" w:rsidR="009C2F12" w:rsidRPr="009C2F12" w:rsidRDefault="009C2F12" w:rsidP="009C2F1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Установить, что расчет размера субвенции бюджетам муниципальных образований на организацию осуществления отдельных государственных полномочий применяется с 2025 года. </w:t>
      </w:r>
    </w:p>
    <w:p w14:paraId="78E53C0E" w14:textId="77777777" w:rsidR="009C2F12" w:rsidRPr="009C2F12" w:rsidRDefault="009C2F12" w:rsidP="009C2F1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 затрат в расчете на одного специалиста (одну ставку), задействованного в выполнении отдельных государственных полномочий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муниципальном образовании (Н), рассчитывается по формуле:</w:t>
      </w:r>
    </w:p>
    <w:p w14:paraId="0D3DD482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35" w:line="276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>Н=1,2х(Д+Е),</w:t>
      </w:r>
    </w:p>
    <w:p w14:paraId="180E369A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 1,2 – коэффициент увеличения,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(где 0,2 – доля расходов от фонда оплаты труда, используемая на командировочные расходы, повышение квалификации, услуги связи, транспортные услуги, коммунальные услуги, арендную плату за пользование имуществом, работы и услуги по содержанию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имущества, прочие работы и услуги, прочие расходы, увеличение стоимости основных средств и увеличение стоимости материальных запасов);</w:t>
      </w:r>
    </w:p>
    <w:p w14:paraId="74516E56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 – сумма денежного содержания на планируемый год по должностям: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«помощник», «советник», «консультант»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</w:t>
      </w:r>
      <w:r w:rsidRPr="009C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нормативами формирования расходов на содержание и оплату труда муниципальных служащих муниципальных образований Донецкой Народной Республики, утвержденными </w:t>
      </w: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Правительством Донецкой Народной Республики;</w:t>
      </w:r>
    </w:p>
    <w:p w14:paraId="7302C283" w14:textId="77777777" w:rsidR="009C2F12" w:rsidRPr="009C2F12" w:rsidRDefault="009C2F12" w:rsidP="009C2F12">
      <w:pPr>
        <w:widowControl w:val="0"/>
        <w:tabs>
          <w:tab w:val="left" w:pos="1134"/>
        </w:tabs>
        <w:suppressAutoHyphens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— сумма начислений на оплату труда в соответствии с налоговым законодательством Российской Федерации. </w:t>
      </w:r>
    </w:p>
    <w:p w14:paraId="435F0DBF" w14:textId="77777777" w:rsidR="00B123AF" w:rsidRDefault="00B123AF">
      <w:bookmarkStart w:id="2" w:name="_GoBack"/>
      <w:bookmarkEnd w:id="2"/>
    </w:p>
    <w:sectPr w:rsidR="00B123AF" w:rsidSect="000261CE">
      <w:headerReference w:type="default" r:id="rId5"/>
      <w:pgSz w:w="11906" w:h="16838"/>
      <w:pgMar w:top="1240" w:right="631" w:bottom="993" w:left="1621" w:header="0" w:footer="0" w:gutter="0"/>
      <w:pgNumType w:start="2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146642"/>
      <w:docPartObj>
        <w:docPartGallery w:val="Page Numbers (Top of Page)"/>
        <w:docPartUnique/>
      </w:docPartObj>
    </w:sdtPr>
    <w:sdtEndPr/>
    <w:sdtContent>
      <w:p w14:paraId="4BED23BC" w14:textId="77777777" w:rsidR="00A03026" w:rsidRDefault="009C2F12">
        <w:pPr>
          <w:pStyle w:val="a3"/>
          <w:jc w:val="center"/>
        </w:pPr>
      </w:p>
      <w:p w14:paraId="6380BEC8" w14:textId="77777777" w:rsidR="000261CE" w:rsidRDefault="009C2F12">
        <w:pPr>
          <w:pStyle w:val="a3"/>
          <w:jc w:val="center"/>
        </w:pPr>
      </w:p>
      <w:p w14:paraId="5D23F68A" w14:textId="77777777" w:rsidR="00A03026" w:rsidRDefault="009C2F12">
        <w:pPr>
          <w:pStyle w:val="a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7B5FDF3" w14:textId="77777777" w:rsidR="00A03026" w:rsidRDefault="009C2F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271"/>
    <w:multiLevelType w:val="multilevel"/>
    <w:tmpl w:val="D25457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6F"/>
    <w:rsid w:val="00172C39"/>
    <w:rsid w:val="00781704"/>
    <w:rsid w:val="009C2F12"/>
    <w:rsid w:val="009E686F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94AC-9B7F-4D60-841D-81230979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2024-06-11T06:51:00Z</dcterms:created>
  <dcterms:modified xsi:type="dcterms:W3CDTF">2024-06-11T06:52:00Z</dcterms:modified>
</cp:coreProperties>
</file>