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3D1B" w14:textId="77777777" w:rsidR="007B2646" w:rsidRDefault="007B2646" w:rsidP="007B2646">
      <w:pPr>
        <w:spacing w:line="240" w:lineRule="auto"/>
        <w:ind w:left="5103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2</w:t>
      </w:r>
    </w:p>
    <w:p w14:paraId="1E31F70C" w14:textId="77777777" w:rsidR="007B2646" w:rsidRDefault="007B2646" w:rsidP="00351CCC">
      <w:pPr>
        <w:spacing w:line="240" w:lineRule="auto"/>
        <w:ind w:left="5103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Решению </w:t>
      </w:r>
      <w:proofErr w:type="spellStart"/>
      <w:r>
        <w:rPr>
          <w:rFonts w:eastAsia="Calibri"/>
          <w:sz w:val="24"/>
          <w:szCs w:val="24"/>
          <w:lang w:eastAsia="en-US"/>
        </w:rPr>
        <w:t>Харцызского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городского совета Донецкой Народной Республики от 01.01.2024 № 15/1 </w:t>
      </w:r>
    </w:p>
    <w:p w14:paraId="3F984FF5" w14:textId="6B063AEA" w:rsidR="009149DE" w:rsidRPr="00205835" w:rsidRDefault="007B2646" w:rsidP="00351CCC">
      <w:pPr>
        <w:spacing w:line="240" w:lineRule="auto"/>
        <w:ind w:left="5103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i/>
          <w:iCs/>
          <w:color w:val="808080"/>
          <w:sz w:val="24"/>
          <w:szCs w:val="24"/>
          <w:lang w:eastAsia="en-US"/>
        </w:rPr>
        <w:t xml:space="preserve">в ред. решений </w:t>
      </w:r>
      <w:proofErr w:type="spellStart"/>
      <w:r>
        <w:rPr>
          <w:rFonts w:eastAsia="Calibri"/>
          <w:i/>
          <w:iCs/>
          <w:color w:val="808080"/>
          <w:sz w:val="24"/>
          <w:szCs w:val="24"/>
          <w:lang w:eastAsia="en-US"/>
        </w:rPr>
        <w:t>Харцызского</w:t>
      </w:r>
      <w:proofErr w:type="spellEnd"/>
      <w:r>
        <w:rPr>
          <w:rFonts w:eastAsia="Calibri"/>
          <w:i/>
          <w:iCs/>
          <w:color w:val="808080"/>
          <w:sz w:val="24"/>
          <w:szCs w:val="24"/>
          <w:lang w:eastAsia="en-US"/>
        </w:rPr>
        <w:t xml:space="preserve"> городского совета ДНР</w:t>
      </w:r>
      <w:r>
        <w:rPr>
          <w:rFonts w:eastAsia="Calibri"/>
          <w:i/>
          <w:iCs/>
          <w:sz w:val="24"/>
          <w:szCs w:val="24"/>
          <w:lang w:eastAsia="en-US"/>
        </w:rPr>
        <w:t xml:space="preserve"> </w:t>
      </w:r>
      <w:hyperlink r:id="rId8" w:history="1">
        <w:r>
          <w:rPr>
            <w:rStyle w:val="af4"/>
            <w:rFonts w:eastAsia="Calibri"/>
            <w:i/>
            <w:iCs/>
            <w:sz w:val="24"/>
            <w:szCs w:val="24"/>
          </w:rPr>
          <w:t>от 09.04.2024 № 26/1</w:t>
        </w:r>
      </w:hyperlink>
      <w:r>
        <w:rPr>
          <w:rFonts w:eastAsia="Calibri"/>
          <w:i/>
          <w:iCs/>
          <w:sz w:val="24"/>
          <w:szCs w:val="24"/>
          <w:lang w:eastAsia="en-US"/>
        </w:rPr>
        <w:t xml:space="preserve">, </w:t>
      </w:r>
      <w:hyperlink r:id="rId9" w:history="1">
        <w:r>
          <w:rPr>
            <w:rStyle w:val="af4"/>
            <w:rFonts w:eastAsia="Calibri"/>
            <w:i/>
            <w:iCs/>
            <w:sz w:val="24"/>
            <w:szCs w:val="24"/>
          </w:rPr>
          <w:t>от 10.06.2024 № 29/1</w:t>
        </w:r>
      </w:hyperlink>
      <w:r>
        <w:rPr>
          <w:rFonts w:eastAsia="Calibri"/>
          <w:i/>
          <w:iCs/>
          <w:sz w:val="24"/>
          <w:szCs w:val="24"/>
          <w:lang w:eastAsia="en-US"/>
        </w:rPr>
        <w:t xml:space="preserve">, </w:t>
      </w:r>
      <w:hyperlink r:id="rId10" w:history="1">
        <w:r>
          <w:rPr>
            <w:rStyle w:val="af4"/>
            <w:rFonts w:eastAsia="Calibri"/>
            <w:i/>
            <w:iCs/>
            <w:sz w:val="24"/>
            <w:szCs w:val="24"/>
          </w:rPr>
          <w:t>от 20.06.2024 № 30/1</w:t>
        </w:r>
      </w:hyperlink>
      <w:r>
        <w:rPr>
          <w:rFonts w:eastAsia="Calibri"/>
          <w:i/>
          <w:iCs/>
          <w:sz w:val="24"/>
          <w:szCs w:val="24"/>
          <w:lang w:eastAsia="en-US"/>
        </w:rPr>
        <w:t xml:space="preserve">, </w:t>
      </w:r>
      <w:hyperlink r:id="rId11" w:history="1">
        <w:r w:rsidR="009149DE" w:rsidRPr="0056252A">
          <w:rPr>
            <w:rStyle w:val="af4"/>
            <w:rFonts w:eastAsia="Calibri"/>
            <w:i/>
            <w:iCs/>
            <w:sz w:val="24"/>
            <w:szCs w:val="24"/>
            <w:lang w:eastAsia="en-US"/>
          </w:rPr>
          <w:t>от 04.07.20</w:t>
        </w:r>
        <w:bookmarkStart w:id="0" w:name="_GoBack"/>
        <w:bookmarkEnd w:id="0"/>
        <w:r w:rsidR="009149DE" w:rsidRPr="0056252A">
          <w:rPr>
            <w:rStyle w:val="af4"/>
            <w:rFonts w:eastAsia="Calibri"/>
            <w:i/>
            <w:iCs/>
            <w:sz w:val="24"/>
            <w:szCs w:val="24"/>
            <w:lang w:eastAsia="en-US"/>
          </w:rPr>
          <w:t>24 № 32/1</w:t>
        </w:r>
      </w:hyperlink>
      <w:r>
        <w:rPr>
          <w:rFonts w:eastAsia="Calibri"/>
          <w:sz w:val="24"/>
          <w:szCs w:val="24"/>
          <w:lang w:eastAsia="en-US"/>
        </w:rPr>
        <w:t>)</w:t>
      </w:r>
    </w:p>
    <w:p w14:paraId="5140524E" w14:textId="77777777" w:rsidR="009149DE" w:rsidRPr="00205835" w:rsidRDefault="009149DE" w:rsidP="009149DE">
      <w:pPr>
        <w:spacing w:line="240" w:lineRule="auto"/>
        <w:ind w:left="5387" w:firstLine="0"/>
        <w:jc w:val="center"/>
        <w:rPr>
          <w:rFonts w:eastAsia="Calibri"/>
          <w:sz w:val="24"/>
          <w:szCs w:val="24"/>
          <w:lang w:eastAsia="en-US"/>
        </w:rPr>
      </w:pPr>
    </w:p>
    <w:p w14:paraId="2BA24E2F" w14:textId="77777777" w:rsidR="009149DE" w:rsidRPr="00205835" w:rsidRDefault="009149DE" w:rsidP="009149DE">
      <w:pPr>
        <w:spacing w:line="240" w:lineRule="auto"/>
        <w:ind w:left="5387" w:firstLine="0"/>
        <w:jc w:val="center"/>
        <w:rPr>
          <w:rFonts w:eastAsia="Calibri"/>
          <w:sz w:val="24"/>
          <w:szCs w:val="24"/>
          <w:lang w:eastAsia="en-US"/>
        </w:rPr>
      </w:pPr>
    </w:p>
    <w:p w14:paraId="0C9E1E5E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Объем и распределение бюджетных ассигнований бюджета муниципального образования городской округ Харцызск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28FFC5F4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>на 2024 год</w:t>
      </w:r>
    </w:p>
    <w:p w14:paraId="7759F841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5195D4EA" w14:textId="77777777" w:rsidR="009149DE" w:rsidRPr="00205835" w:rsidRDefault="009149DE" w:rsidP="007B1C94">
      <w:pPr>
        <w:spacing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20583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993"/>
        <w:gridCol w:w="1842"/>
        <w:gridCol w:w="1134"/>
        <w:gridCol w:w="1701"/>
      </w:tblGrid>
      <w:tr w:rsidR="009149DE" w:rsidRPr="00205835" w14:paraId="30A29A50" w14:textId="77777777" w:rsidTr="007B1C94">
        <w:trPr>
          <w:trHeight w:val="8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639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427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84A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CEA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CBA3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527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149DE" w:rsidRPr="00205835" w14:paraId="1B755DA8" w14:textId="77777777" w:rsidTr="007B1C94">
        <w:trPr>
          <w:trHeight w:val="503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72F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D7B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57E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C7F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F694A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DF6" w14:textId="77777777" w:rsidR="009149DE" w:rsidRPr="00205835" w:rsidRDefault="009149DE" w:rsidP="009149D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5835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49DE" w:rsidRPr="00205835" w14:paraId="0D576F7A" w14:textId="77777777" w:rsidTr="007B1C94">
        <w:trPr>
          <w:trHeight w:val="3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01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A68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045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B87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447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485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6 139,32300</w:t>
            </w:r>
          </w:p>
        </w:tc>
      </w:tr>
      <w:tr w:rsidR="009149DE" w:rsidRPr="00205835" w14:paraId="385DEFF9" w14:textId="77777777" w:rsidTr="007B1C94">
        <w:trPr>
          <w:trHeight w:val="42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596F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E76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C38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A26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2DA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D4A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12 084,50000</w:t>
            </w:r>
          </w:p>
        </w:tc>
      </w:tr>
      <w:tr w:rsidR="009149DE" w:rsidRPr="00205835" w14:paraId="6286634E" w14:textId="77777777" w:rsidTr="007B1C94">
        <w:trPr>
          <w:trHeight w:val="40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ED1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3A3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312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E24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F60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D09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651,80000</w:t>
            </w:r>
          </w:p>
        </w:tc>
      </w:tr>
      <w:tr w:rsidR="009149DE" w:rsidRPr="00205835" w14:paraId="6F85F5DE" w14:textId="77777777" w:rsidTr="007B1C94">
        <w:trPr>
          <w:trHeight w:val="51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814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4CE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9C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39A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B6C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DA9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115 029,57700</w:t>
            </w:r>
          </w:p>
        </w:tc>
      </w:tr>
      <w:tr w:rsidR="009149DE" w:rsidRPr="00205835" w14:paraId="6D575568" w14:textId="77777777" w:rsidTr="007B1C94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35E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499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FC1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0CF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B6B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898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10 307,17200</w:t>
            </w:r>
          </w:p>
        </w:tc>
      </w:tr>
      <w:tr w:rsidR="009149DE" w:rsidRPr="00205835" w14:paraId="463DED44" w14:textId="77777777" w:rsidTr="007B1C94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96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2A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E64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8DC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F0C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6C4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17,30000</w:t>
            </w:r>
          </w:p>
        </w:tc>
      </w:tr>
      <w:tr w:rsidR="009149DE" w:rsidRPr="00205835" w14:paraId="045125DB" w14:textId="77777777" w:rsidTr="007B1C94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1E3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46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B5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46E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84F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6256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14 409,50000</w:t>
            </w:r>
          </w:p>
        </w:tc>
      </w:tr>
      <w:tr w:rsidR="009149DE" w:rsidRPr="00205835" w14:paraId="12C102A7" w14:textId="77777777" w:rsidTr="007B1C9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074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AB3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81C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206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49E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3D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911,80000</w:t>
            </w:r>
          </w:p>
        </w:tc>
      </w:tr>
      <w:tr w:rsidR="009149DE" w:rsidRPr="00205835" w14:paraId="4BF03112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7F7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Резервные фонды.    Закупка товаров, работ 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8D9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846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B6F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02 0 00 09000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0C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FE0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500,92846</w:t>
            </w:r>
          </w:p>
        </w:tc>
      </w:tr>
      <w:tr w:rsidR="009149DE" w:rsidRPr="00205835" w14:paraId="4BB09B8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F0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818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59B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98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34 0 00 05000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9DC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BE2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35 384,10000</w:t>
            </w:r>
          </w:p>
        </w:tc>
      </w:tr>
      <w:tr w:rsidR="009149DE" w:rsidRPr="00205835" w14:paraId="4759EA54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173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ED9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D1B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FA4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34 0 00 07100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6B4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55B6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2 828,53854</w:t>
            </w:r>
          </w:p>
        </w:tc>
      </w:tr>
      <w:tr w:rsidR="009149DE" w:rsidRPr="00205835" w14:paraId="13E6479F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6FB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434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0B2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984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D62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616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4 742,71300</w:t>
            </w:r>
          </w:p>
        </w:tc>
      </w:tr>
      <w:tr w:rsidR="009149DE" w:rsidRPr="00205835" w14:paraId="3316DB1B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4FC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E4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816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28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3A5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39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1 050,04000</w:t>
            </w:r>
          </w:p>
        </w:tc>
      </w:tr>
      <w:tr w:rsidR="009149DE" w:rsidRPr="00205835" w14:paraId="4D192CF2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4F3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557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58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73A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B1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E66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1 700,00000</w:t>
            </w:r>
          </w:p>
        </w:tc>
      </w:tr>
      <w:tr w:rsidR="009149DE" w:rsidRPr="00205835" w14:paraId="634DD59B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169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183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E30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5BD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43 0 00 11000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A6C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8E9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8 283,39787</w:t>
            </w:r>
          </w:p>
        </w:tc>
      </w:tr>
      <w:tr w:rsidR="009149DE" w:rsidRPr="00205835" w14:paraId="1D9B0DD1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7A7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1B4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F3F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73B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F7F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BF6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14 375,10000</w:t>
            </w:r>
          </w:p>
        </w:tc>
      </w:tr>
      <w:tr w:rsidR="009149DE" w:rsidRPr="00205835" w14:paraId="6ABC50ED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C94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1FD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4D1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C75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3A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2D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675,75800</w:t>
            </w:r>
          </w:p>
        </w:tc>
      </w:tr>
      <w:tr w:rsidR="009149DE" w:rsidRPr="00205835" w14:paraId="2B090807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8E9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A97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66A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79B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6C8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EF6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154 887,40000</w:t>
            </w:r>
          </w:p>
        </w:tc>
      </w:tr>
      <w:tr w:rsidR="009149DE" w:rsidRPr="00205835" w14:paraId="40781BFD" w14:textId="77777777" w:rsidTr="007B1C94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C49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C83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C2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C9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C51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94C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32 783,64700</w:t>
            </w:r>
          </w:p>
        </w:tc>
      </w:tr>
      <w:tr w:rsidR="009149DE" w:rsidRPr="00205835" w14:paraId="0018F6FF" w14:textId="77777777" w:rsidTr="007B1C94">
        <w:trPr>
          <w:trHeight w:val="4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96C2" w14:textId="77777777" w:rsidR="009149DE" w:rsidRPr="00205835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6A8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16B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113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67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1D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51 207,12720</w:t>
            </w:r>
          </w:p>
        </w:tc>
      </w:tr>
      <w:tr w:rsidR="009149DE" w:rsidRPr="00205835" w14:paraId="1050D25D" w14:textId="77777777" w:rsidTr="007B1C94">
        <w:trPr>
          <w:trHeight w:val="18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1D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989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C8C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686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44E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698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9 807,92248</w:t>
            </w:r>
          </w:p>
        </w:tc>
      </w:tr>
      <w:tr w:rsidR="009149DE" w:rsidRPr="00205835" w14:paraId="42FD4576" w14:textId="77777777" w:rsidTr="007B1C94">
        <w:trPr>
          <w:trHeight w:val="34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D9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98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79A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21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5DD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C9A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20 128,92000</w:t>
            </w:r>
          </w:p>
        </w:tc>
      </w:tr>
      <w:tr w:rsidR="009149DE" w:rsidRPr="00205835" w14:paraId="4D6E8799" w14:textId="77777777" w:rsidTr="007B1C94">
        <w:trPr>
          <w:trHeight w:val="17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922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4A7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8E5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FC1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D47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0E4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289 360,70000</w:t>
            </w:r>
          </w:p>
        </w:tc>
      </w:tr>
      <w:tr w:rsidR="009149DE" w:rsidRPr="00205835" w14:paraId="76DBA551" w14:textId="77777777" w:rsidTr="007B1C9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DA71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DD1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C1F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3D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91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09F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40 322,01278</w:t>
            </w:r>
          </w:p>
        </w:tc>
      </w:tr>
      <w:tr w:rsidR="009149DE" w:rsidRPr="00205835" w14:paraId="52D50B1A" w14:textId="77777777" w:rsidTr="007B1C94">
        <w:trPr>
          <w:trHeight w:val="20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B0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6C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8A2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BAA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8E1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D6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13 454,42222</w:t>
            </w:r>
          </w:p>
        </w:tc>
      </w:tr>
      <w:tr w:rsidR="009149DE" w:rsidRPr="00205835" w14:paraId="075EF1CA" w14:textId="77777777" w:rsidTr="007B1C94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D79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5C7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A83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DFA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41E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7AD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69 217,06336</w:t>
            </w:r>
          </w:p>
        </w:tc>
      </w:tr>
      <w:tr w:rsidR="009149DE" w:rsidRPr="00205835" w14:paraId="5B6FBDB1" w14:textId="77777777" w:rsidTr="007B1C94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77C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B2E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4F2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D2C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F1F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4F4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13 848,13152</w:t>
            </w:r>
          </w:p>
        </w:tc>
      </w:tr>
      <w:tr w:rsidR="009149DE" w:rsidRPr="00205835" w14:paraId="6F4CB8CE" w14:textId="77777777" w:rsidTr="007B1C94">
        <w:trPr>
          <w:trHeight w:val="30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0EF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B1A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919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F91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DFD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3E09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43 743,30000</w:t>
            </w:r>
          </w:p>
        </w:tc>
      </w:tr>
      <w:tr w:rsidR="009149DE" w:rsidRPr="00205835" w14:paraId="1D8C8A24" w14:textId="77777777" w:rsidTr="007B1C94">
        <w:trPr>
          <w:trHeight w:val="10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B95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"Дополнительное образование детей. Расходы на содержание культурно-просветительных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E87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382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08B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29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DA6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49DE" w:rsidRPr="00205835" w14:paraId="00DA1374" w14:textId="77777777" w:rsidTr="007B1C9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4D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050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438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BA5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974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63C9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1 407,94717</w:t>
            </w:r>
          </w:p>
        </w:tc>
      </w:tr>
      <w:tr w:rsidR="009149DE" w:rsidRPr="00205835" w14:paraId="0935D0B2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FF5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Субсидии бюджетам городских округов на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поддержку отрасли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866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7A7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AE3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0A1 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B03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32EF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12 626,26263</w:t>
            </w:r>
          </w:p>
        </w:tc>
      </w:tr>
      <w:tr w:rsidR="009149DE" w:rsidRPr="00205835" w14:paraId="400898A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F64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1C2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982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BD0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L2370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B43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8E8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20 202,02020</w:t>
            </w:r>
          </w:p>
        </w:tc>
      </w:tr>
      <w:tr w:rsidR="009149DE" w:rsidRPr="00205835" w14:paraId="77E38D27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376D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096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356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251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463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6C4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35 364,50000</w:t>
            </w:r>
          </w:p>
        </w:tc>
      </w:tr>
      <w:tr w:rsidR="009149DE" w:rsidRPr="00205835" w14:paraId="68E1C212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009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583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8BE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E6C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FD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6A8E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1 605,89000</w:t>
            </w:r>
          </w:p>
        </w:tc>
      </w:tr>
      <w:tr w:rsidR="009149DE" w:rsidRPr="00205835" w14:paraId="6BE33A12" w14:textId="77777777" w:rsidTr="007B1C94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096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Молодежная политика. Создание условий успешной социализации и эффективной самореализации молодежи.  Закупка товаров, работ и услуг для обеспечения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83B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B7A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AB9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48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058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61,50000</w:t>
            </w:r>
          </w:p>
        </w:tc>
      </w:tr>
      <w:tr w:rsidR="009149DE" w:rsidRPr="00205835" w14:paraId="1F91292D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95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6E1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C7F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42F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C6F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D08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4 106,90000</w:t>
            </w:r>
          </w:p>
        </w:tc>
      </w:tr>
      <w:tr w:rsidR="009149DE" w:rsidRPr="00205835" w14:paraId="6FAF19C5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794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2D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C53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E2F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13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836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5,10000</w:t>
            </w:r>
          </w:p>
        </w:tc>
      </w:tr>
      <w:tr w:rsidR="009149DE" w:rsidRPr="00205835" w14:paraId="0FC3DA8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C3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A26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23A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CC0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07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0CE8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16 085,45400</w:t>
            </w:r>
          </w:p>
        </w:tc>
      </w:tr>
      <w:tr w:rsidR="009149DE" w:rsidRPr="00205835" w14:paraId="44C4291D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3F8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4FD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5C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E37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495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F3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432,73000</w:t>
            </w:r>
          </w:p>
        </w:tc>
      </w:tr>
      <w:tr w:rsidR="009149DE" w:rsidRPr="00205835" w14:paraId="53224B0F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4A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143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E33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692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BAC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B03F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3 360,20000</w:t>
            </w:r>
          </w:p>
        </w:tc>
      </w:tr>
      <w:tr w:rsidR="009149DE" w:rsidRPr="00205835" w14:paraId="4E37A5E6" w14:textId="77777777" w:rsidTr="007B1C9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670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271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FD7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7CF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E4C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861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13,60000</w:t>
            </w:r>
          </w:p>
        </w:tc>
      </w:tr>
      <w:tr w:rsidR="009149DE" w:rsidRPr="00205835" w14:paraId="49DD16F6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535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по содержанию и обеспечению деятельности Центров (кабинетов) психолого-медико-педагогической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912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BA7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3D6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14 0 00 07070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478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A97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1 679,30000</w:t>
            </w:r>
          </w:p>
        </w:tc>
      </w:tr>
      <w:tr w:rsidR="009149DE" w:rsidRPr="00205835" w14:paraId="1C5105A6" w14:textId="77777777" w:rsidTr="007B1C94">
        <w:trPr>
          <w:trHeight w:val="20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D13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56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630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12E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F6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FB6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6 755,20000</w:t>
            </w:r>
          </w:p>
        </w:tc>
      </w:tr>
      <w:tr w:rsidR="009149DE" w:rsidRPr="00205835" w14:paraId="56751E5C" w14:textId="77777777" w:rsidTr="007B1C94">
        <w:trPr>
          <w:trHeight w:val="2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99C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516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CBE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682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86B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60A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0,10000</w:t>
            </w:r>
          </w:p>
        </w:tc>
      </w:tr>
      <w:tr w:rsidR="009149DE" w:rsidRPr="00205835" w14:paraId="5A7F5879" w14:textId="77777777" w:rsidTr="007B1C94">
        <w:trPr>
          <w:trHeight w:val="8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A4C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918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97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3C5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13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26B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20 731,30000</w:t>
            </w:r>
          </w:p>
        </w:tc>
      </w:tr>
      <w:tr w:rsidR="009149DE" w:rsidRPr="00205835" w14:paraId="0534B7EB" w14:textId="77777777" w:rsidTr="007B1C94">
        <w:trPr>
          <w:trHeight w:val="1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03A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0F5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44D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C99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C67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E108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985,13000</w:t>
            </w:r>
          </w:p>
        </w:tc>
      </w:tr>
      <w:tr w:rsidR="009149DE" w:rsidRPr="00205835" w14:paraId="3F73E760" w14:textId="77777777" w:rsidTr="007B1C94">
        <w:trPr>
          <w:trHeight w:val="10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54D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84D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41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A2C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CB1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472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2 987,70000</w:t>
            </w:r>
          </w:p>
        </w:tc>
      </w:tr>
      <w:tr w:rsidR="009149DE" w:rsidRPr="00205835" w14:paraId="2756F0EA" w14:textId="77777777" w:rsidTr="007B1C94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9A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25C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97B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1F7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3BD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A8B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188,35000</w:t>
            </w:r>
          </w:p>
        </w:tc>
      </w:tr>
      <w:tr w:rsidR="009149DE" w:rsidRPr="00205835" w14:paraId="3F24736C" w14:textId="77777777" w:rsidTr="007B1C94">
        <w:trPr>
          <w:trHeight w:val="11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18E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0BD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151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249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A94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055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36 570,50000</w:t>
            </w:r>
          </w:p>
        </w:tc>
      </w:tr>
      <w:tr w:rsidR="009149DE" w:rsidRPr="00205835" w14:paraId="3C7FD167" w14:textId="77777777" w:rsidTr="007B1C94">
        <w:trPr>
          <w:trHeight w:val="4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83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домов культуры, клубов и других заведений клубного типа).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82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845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1E8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E75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9A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4 614,50000</w:t>
            </w:r>
          </w:p>
        </w:tc>
      </w:tr>
      <w:tr w:rsidR="009149DE" w:rsidRPr="00205835" w14:paraId="76B5954E" w14:textId="77777777" w:rsidTr="007B1C94">
        <w:trPr>
          <w:trHeight w:val="21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31B1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FB8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A55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BE8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D7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6AF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1,50000</w:t>
            </w:r>
          </w:p>
        </w:tc>
      </w:tr>
      <w:tr w:rsidR="009149DE" w:rsidRPr="00205835" w14:paraId="0BF6E0CF" w14:textId="77777777" w:rsidTr="007B1C94">
        <w:trPr>
          <w:trHeight w:val="25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DA7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7D9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ECF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3F3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A3C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F23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868,10000</w:t>
            </w:r>
          </w:p>
        </w:tc>
      </w:tr>
      <w:tr w:rsidR="009149DE" w:rsidRPr="00205835" w14:paraId="4F2EC6AE" w14:textId="77777777" w:rsidTr="007B1C94">
        <w:trPr>
          <w:trHeight w:val="19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617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FF5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B02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F34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A61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814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5 984,30000</w:t>
            </w:r>
          </w:p>
        </w:tc>
      </w:tr>
      <w:tr w:rsidR="009149DE" w:rsidRPr="00205835" w14:paraId="26480FB4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D00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C6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552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9D0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B4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C0A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202,80000</w:t>
            </w:r>
          </w:p>
        </w:tc>
      </w:tr>
      <w:tr w:rsidR="009149DE" w:rsidRPr="00205835" w14:paraId="4A36DFF4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2CFB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62B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DB0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1E6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DE8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A29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2 706,20000</w:t>
            </w:r>
          </w:p>
        </w:tc>
      </w:tr>
      <w:tr w:rsidR="009149DE" w:rsidRPr="00205835" w14:paraId="0B0E2419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8229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35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7B4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EF0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3ED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FF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105,30000</w:t>
            </w:r>
          </w:p>
        </w:tc>
      </w:tr>
      <w:tr w:rsidR="009149DE" w:rsidRPr="00205835" w14:paraId="67757901" w14:textId="77777777" w:rsidTr="007B1C94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7AA5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E22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018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C42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EED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DD23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2 772,70000</w:t>
            </w:r>
          </w:p>
        </w:tc>
      </w:tr>
      <w:tr w:rsidR="009149DE" w:rsidRPr="00205835" w14:paraId="5AD66CFC" w14:textId="77777777" w:rsidTr="007B1C94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0DC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Культура. Обеспечение и содержание функционирования администраций городов,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32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22D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682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5B2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F74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49,00000</w:t>
            </w:r>
          </w:p>
        </w:tc>
      </w:tr>
      <w:tr w:rsidR="009149DE" w:rsidRPr="00205835" w14:paraId="2192C43C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E58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27B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54E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936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L0440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E74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78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1 897,00000</w:t>
            </w:r>
          </w:p>
        </w:tc>
      </w:tr>
      <w:tr w:rsidR="009149DE" w:rsidRPr="00205835" w14:paraId="3D27CD6B" w14:textId="77777777" w:rsidTr="007B1C94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04F8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696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369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BB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83E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2C3C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396,03000</w:t>
            </w:r>
          </w:p>
        </w:tc>
      </w:tr>
      <w:tr w:rsidR="009149DE" w:rsidRPr="00205835" w14:paraId="3EF1A61B" w14:textId="77777777" w:rsidTr="007B1C94">
        <w:trPr>
          <w:trHeight w:val="4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509F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B9E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B4F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D82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E5AB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D66A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33 621,85000</w:t>
            </w:r>
          </w:p>
        </w:tc>
      </w:tr>
      <w:tr w:rsidR="009149DE" w:rsidRPr="00205835" w14:paraId="2CD7E8F4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2E8D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C1C6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87A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A00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0E21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E80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1 912,71000</w:t>
            </w:r>
          </w:p>
        </w:tc>
      </w:tr>
      <w:tr w:rsidR="009149DE" w:rsidRPr="00205835" w14:paraId="6F02E349" w14:textId="77777777" w:rsidTr="007B1C94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B54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459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CC7A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475F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0CA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80B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16 048,70000</w:t>
            </w:r>
          </w:p>
        </w:tc>
      </w:tr>
      <w:tr w:rsidR="009149DE" w:rsidRPr="00205835" w14:paraId="7EEA0B20" w14:textId="77777777" w:rsidTr="007B1C9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5151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физической культуры и спорта.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7C8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E4D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1D95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E0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240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2 646,58000</w:t>
            </w:r>
          </w:p>
        </w:tc>
      </w:tr>
      <w:tr w:rsidR="009149DE" w:rsidRPr="00205835" w14:paraId="16FF98D2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9CE92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B24C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DFCE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C5A3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FC52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43D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2 551,85000</w:t>
            </w:r>
          </w:p>
        </w:tc>
      </w:tr>
      <w:tr w:rsidR="009149DE" w:rsidRPr="00205835" w14:paraId="26147331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66FE7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D2E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B980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0F4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E7A4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580B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139,55000</w:t>
            </w:r>
          </w:p>
        </w:tc>
      </w:tr>
      <w:tr w:rsidR="009149DE" w:rsidRPr="00205835" w14:paraId="546E0219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3E66E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</w:t>
            </w: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FCAD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564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FF56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43D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62C6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2 533,40000</w:t>
            </w:r>
          </w:p>
        </w:tc>
      </w:tr>
      <w:tr w:rsidR="009149DE" w:rsidRPr="00205835" w14:paraId="160CD5C3" w14:textId="77777777" w:rsidTr="007B1C94">
        <w:trPr>
          <w:trHeight w:val="3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34D74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22D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B227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5B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8B7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F577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374,10000</w:t>
            </w:r>
          </w:p>
        </w:tc>
      </w:tr>
      <w:tr w:rsidR="009149DE" w:rsidRPr="00205835" w14:paraId="70467182" w14:textId="77777777" w:rsidTr="007B1C9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15350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E3C0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25B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1668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5259" w14:textId="77777777" w:rsidR="009149DE" w:rsidRPr="00205835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D82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0,60000</w:t>
            </w:r>
          </w:p>
        </w:tc>
      </w:tr>
      <w:tr w:rsidR="009149DE" w:rsidRPr="00205835" w14:paraId="29441343" w14:textId="77777777" w:rsidTr="007B1C94">
        <w:trPr>
          <w:trHeight w:val="386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8DE6" w14:textId="77777777" w:rsidR="009149DE" w:rsidRPr="00205835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8C31" w14:textId="77777777" w:rsidR="009149DE" w:rsidRPr="00205835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05835">
              <w:rPr>
                <w:rFonts w:eastAsia="Calibri"/>
                <w:sz w:val="24"/>
                <w:szCs w:val="24"/>
                <w:lang w:eastAsia="en-US"/>
              </w:rPr>
              <w:t>1 212 448,64843</w:t>
            </w:r>
          </w:p>
        </w:tc>
      </w:tr>
    </w:tbl>
    <w:p w14:paraId="33A3B48D" w14:textId="77777777" w:rsidR="009149DE" w:rsidRPr="00205835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sectPr w:rsidR="009149DE" w:rsidRPr="00205835" w:rsidSect="009276DD"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845F" w14:textId="77777777" w:rsidR="007B2646" w:rsidRDefault="007B2646">
      <w:r>
        <w:separator/>
      </w:r>
    </w:p>
  </w:endnote>
  <w:endnote w:type="continuationSeparator" w:id="0">
    <w:p w14:paraId="49F12639" w14:textId="77777777" w:rsidR="007B2646" w:rsidRDefault="007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DDCA6" w14:textId="77777777" w:rsidR="007B2646" w:rsidRDefault="007B2646">
      <w:r>
        <w:separator/>
      </w:r>
    </w:p>
  </w:footnote>
  <w:footnote w:type="continuationSeparator" w:id="0">
    <w:p w14:paraId="5DB3CC75" w14:textId="77777777" w:rsidR="007B2646" w:rsidRDefault="007B2646">
      <w:r>
        <w:continuationSeparator/>
      </w:r>
    </w:p>
  </w:footnote>
  <w:footnote w:type="continuationNotice" w:id="1">
    <w:p w14:paraId="7D4B528F" w14:textId="77777777" w:rsidR="007B2646" w:rsidRDefault="007B26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5835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1CCC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734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252A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1C94"/>
    <w:rsid w:val="007B2646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9DE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00A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363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02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6FF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87676818-5859-4305-9E57-9CD30980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  <w:style w:type="character" w:styleId="affffff3">
    <w:name w:val="Unresolved Mention"/>
    <w:basedOn w:val="a3"/>
    <w:uiPriority w:val="99"/>
    <w:semiHidden/>
    <w:unhideWhenUsed/>
    <w:rsid w:val="0056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26-1-2024040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1244-32-1-202407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4-30-1-202406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4-29-1-20240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1F02217-5105-46C6-853E-BAB567BB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2024-06-03T09:58:00Z</cp:lastPrinted>
  <dcterms:created xsi:type="dcterms:W3CDTF">2024-09-04T09:36:00Z</dcterms:created>
  <dcterms:modified xsi:type="dcterms:W3CDTF">2024-09-04T11:46:00Z</dcterms:modified>
</cp:coreProperties>
</file>