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E9" w:rsidRPr="00C3327C" w:rsidRDefault="002B21FB" w:rsidP="00942207">
      <w:pPr>
        <w:spacing w:after="0" w:line="240" w:lineRule="auto"/>
        <w:ind w:left="5670"/>
        <w:rPr>
          <w:sz w:val="28"/>
          <w:szCs w:val="28"/>
        </w:rPr>
      </w:pPr>
      <w:bookmarkStart w:id="0" w:name="_Hlk138842708"/>
      <w:bookmarkEnd w:id="0"/>
      <w:r w:rsidRPr="00C3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FA54E9" w:rsidRPr="00C3327C" w:rsidRDefault="002B21FB" w:rsidP="00942207">
      <w:pPr>
        <w:spacing w:after="0" w:line="240" w:lineRule="auto"/>
        <w:ind w:left="5670"/>
        <w:rPr>
          <w:sz w:val="28"/>
          <w:szCs w:val="28"/>
        </w:rPr>
      </w:pPr>
      <w:r w:rsidRPr="00C3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887F33" w:rsidRPr="00C3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3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аспоряжению Правительства </w:t>
      </w:r>
    </w:p>
    <w:p w:rsidR="00FA54E9" w:rsidRPr="00C3327C" w:rsidRDefault="002B21FB" w:rsidP="00942207">
      <w:pPr>
        <w:spacing w:after="0" w:line="240" w:lineRule="auto"/>
        <w:ind w:left="5670"/>
        <w:rPr>
          <w:sz w:val="28"/>
          <w:szCs w:val="28"/>
        </w:rPr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Донецкой Народной Республики</w:t>
      </w:r>
    </w:p>
    <w:p w:rsidR="00FA54E9" w:rsidRPr="00C3327C" w:rsidRDefault="002B21FB" w:rsidP="00942207">
      <w:pPr>
        <w:spacing w:after="0" w:line="240" w:lineRule="auto"/>
        <w:ind w:left="5670"/>
        <w:rPr>
          <w:sz w:val="28"/>
          <w:szCs w:val="28"/>
        </w:rPr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87F33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19 ноября 2024 г.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87F33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116-</w:t>
      </w:r>
      <w:proofErr w:type="spellStart"/>
      <w:r w:rsidR="00887F33" w:rsidRPr="00C3327C">
        <w:rPr>
          <w:rFonts w:ascii="Times New Roman" w:hAnsi="Times New Roman" w:cs="Times New Roman"/>
          <w:color w:val="000000"/>
          <w:sz w:val="28"/>
          <w:szCs w:val="28"/>
        </w:rPr>
        <w:t>Р2</w:t>
      </w:r>
      <w:proofErr w:type="spellEnd"/>
    </w:p>
    <w:p w:rsidR="00FA54E9" w:rsidRPr="00C3327C" w:rsidRDefault="00FA54E9" w:rsidP="00942207">
      <w:pPr>
        <w:pStyle w:val="11"/>
        <w:spacing w:line="240" w:lineRule="auto"/>
        <w:ind w:left="5670" w:firstLine="0"/>
        <w:jc w:val="center"/>
      </w:pPr>
    </w:p>
    <w:p w:rsidR="00FA54E9" w:rsidRPr="00C3327C" w:rsidRDefault="00FA54E9" w:rsidP="00942207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A54E9" w:rsidRPr="00C3327C" w:rsidRDefault="00FA54E9" w:rsidP="00942207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A54E9" w:rsidRPr="00C3327C" w:rsidRDefault="00FA54E9" w:rsidP="00942207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A54E9" w:rsidRPr="00C3327C" w:rsidRDefault="00FA54E9" w:rsidP="00942207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A54E9" w:rsidRPr="00C3327C" w:rsidRDefault="00FA54E9" w:rsidP="00942207">
      <w:pPr>
        <w:pStyle w:val="11"/>
        <w:spacing w:line="240" w:lineRule="auto"/>
        <w:ind w:firstLine="0"/>
        <w:jc w:val="center"/>
        <w:rPr>
          <w:b/>
          <w:bCs/>
        </w:rPr>
      </w:pPr>
    </w:p>
    <w:p w:rsidR="00FA54E9" w:rsidRPr="00C3327C" w:rsidRDefault="002B21FB" w:rsidP="00942207">
      <w:pPr>
        <w:pStyle w:val="11"/>
        <w:spacing w:line="240" w:lineRule="auto"/>
        <w:ind w:firstLine="0"/>
        <w:jc w:val="center"/>
      </w:pPr>
      <w:r w:rsidRPr="00C3327C">
        <w:rPr>
          <w:color w:val="000000"/>
        </w:rPr>
        <w:t xml:space="preserve">Прогноз </w:t>
      </w:r>
      <w:r w:rsidRPr="00C3327C">
        <w:rPr>
          <w:rFonts w:eastAsiaTheme="minorHAnsi"/>
          <w:color w:val="000000"/>
        </w:rPr>
        <w:t xml:space="preserve">социально-экономического развития </w:t>
      </w:r>
    </w:p>
    <w:p w:rsidR="00FA54E9" w:rsidRPr="00C3327C" w:rsidRDefault="002B21FB" w:rsidP="00942207">
      <w:pPr>
        <w:pStyle w:val="11"/>
        <w:spacing w:line="240" w:lineRule="auto"/>
        <w:ind w:firstLine="0"/>
        <w:jc w:val="center"/>
      </w:pPr>
      <w:r w:rsidRPr="00C3327C">
        <w:rPr>
          <w:rFonts w:eastAsiaTheme="minorHAnsi"/>
          <w:color w:val="000000"/>
        </w:rPr>
        <w:t xml:space="preserve">Донецкой Народной Республики </w:t>
      </w:r>
      <w:r w:rsidRPr="00C3327C">
        <w:rPr>
          <w:color w:val="000000"/>
        </w:rPr>
        <w:t xml:space="preserve">на 2025 год и </w:t>
      </w:r>
      <w:proofErr w:type="gramStart"/>
      <w:r w:rsidRPr="00C3327C">
        <w:rPr>
          <w:color w:val="000000"/>
        </w:rPr>
        <w:t>на</w:t>
      </w:r>
      <w:proofErr w:type="gramEnd"/>
      <w:r w:rsidRPr="00C3327C">
        <w:rPr>
          <w:color w:val="000000"/>
        </w:rPr>
        <w:t xml:space="preserve"> плановый </w:t>
      </w:r>
    </w:p>
    <w:p w:rsidR="00FA54E9" w:rsidRPr="00C3327C" w:rsidRDefault="002B21FB" w:rsidP="00942207">
      <w:pPr>
        <w:pStyle w:val="11"/>
        <w:spacing w:line="240" w:lineRule="auto"/>
        <w:ind w:firstLine="0"/>
        <w:jc w:val="center"/>
      </w:pPr>
      <w:r w:rsidRPr="00C3327C">
        <w:rPr>
          <w:color w:val="000000"/>
        </w:rPr>
        <w:t>период 2026 и 2027 годов</w:t>
      </w:r>
    </w:p>
    <w:p w:rsidR="00FA54E9" w:rsidRPr="00C3327C" w:rsidRDefault="00FA54E9" w:rsidP="00942207">
      <w:pPr>
        <w:pStyle w:val="11"/>
        <w:spacing w:line="240" w:lineRule="auto"/>
        <w:ind w:firstLine="0"/>
        <w:jc w:val="center"/>
      </w:pPr>
    </w:p>
    <w:p w:rsidR="00FA54E9" w:rsidRPr="00C3327C" w:rsidRDefault="00FA54E9" w:rsidP="00942207">
      <w:pPr>
        <w:pStyle w:val="11"/>
        <w:spacing w:line="240" w:lineRule="auto"/>
        <w:ind w:firstLine="0"/>
        <w:jc w:val="center"/>
      </w:pP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FA54E9" w:rsidRPr="00C3327C" w:rsidRDefault="00FA54E9" w:rsidP="00942207">
      <w:pPr>
        <w:pStyle w:val="11"/>
        <w:spacing w:line="240" w:lineRule="auto"/>
        <w:ind w:firstLine="0"/>
        <w:jc w:val="center"/>
      </w:pP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Прогноз социально-экономического развития Донецкой Народной Республики на 2025 год и на плановый период 2026 и 2027 годов </w:t>
      </w:r>
      <w:r w:rsidR="00BA7A7D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Прогноз) </w:t>
      </w:r>
      <w:r w:rsidRPr="00C3327C">
        <w:rPr>
          <w:rStyle w:val="fontstyle01"/>
        </w:rPr>
        <w:t xml:space="preserve">разработан в соответствии с </w:t>
      </w:r>
      <w:r w:rsidR="00BA7A7D" w:rsidRPr="00C3327C">
        <w:rPr>
          <w:rStyle w:val="fontstyle01"/>
        </w:rPr>
        <w:t>п</w:t>
      </w:r>
      <w:r w:rsidRPr="00C3327C">
        <w:rPr>
          <w:rStyle w:val="fontstyle01"/>
        </w:rPr>
        <w:t xml:space="preserve">остановлением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Донецкой Народной Республики </w:t>
      </w:r>
      <w:r w:rsidRPr="00C3327C">
        <w:rPr>
          <w:rStyle w:val="fontstyle01"/>
        </w:rPr>
        <w:t>от 7 сентября 2023 года №</w:t>
      </w:r>
      <w:r w:rsidR="00BA7A7D" w:rsidRPr="00C3327C">
        <w:rPr>
          <w:rStyle w:val="fontstyle01"/>
        </w:rPr>
        <w:t> </w:t>
      </w:r>
      <w:r w:rsidRPr="00C3327C">
        <w:rPr>
          <w:rStyle w:val="fontstyle01"/>
        </w:rPr>
        <w:t xml:space="preserve">73-5 </w:t>
      </w:r>
      <w:r w:rsidR="00BA7A7D" w:rsidRPr="00C3327C">
        <w:rPr>
          <w:rStyle w:val="fontstyle01"/>
        </w:rPr>
        <w:br/>
      </w:r>
      <w:r w:rsidRPr="00C3327C">
        <w:rPr>
          <w:rStyle w:val="fontstyle01"/>
        </w:rPr>
        <w:t xml:space="preserve">«Об утверждении Порядка разработки и корректировки прогнозов </w:t>
      </w:r>
      <w:r w:rsidR="00BA7A7D" w:rsidRPr="00C3327C">
        <w:rPr>
          <w:rStyle w:val="fontstyle01"/>
        </w:rPr>
        <w:br/>
      </w:r>
      <w:r w:rsidRPr="00C3327C">
        <w:rPr>
          <w:rStyle w:val="fontstyle01"/>
        </w:rPr>
        <w:t xml:space="preserve">социально-экономического развития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Донецкой Народной Республики </w:t>
      </w:r>
      <w:r w:rsidR="00BA7A7D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Style w:val="fontstyle01"/>
        </w:rPr>
        <w:t xml:space="preserve">на среднесрочный и долгосрочный периоды», с учетом данных, предоставленных исполнительными органами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Донецкой Народной Республики</w:t>
      </w:r>
      <w:proofErr w:type="gramEnd"/>
      <w:r w:rsidRPr="00C3327C">
        <w:rPr>
          <w:rStyle w:val="fontstyle01"/>
        </w:rPr>
        <w:t xml:space="preserve">, </w:t>
      </w:r>
      <w:proofErr w:type="gramStart"/>
      <w:r w:rsidRPr="00C3327C">
        <w:rPr>
          <w:rStyle w:val="fontstyle01"/>
        </w:rPr>
        <w:t xml:space="preserve">Территориальным органом Федеральной службы статистики по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Донецкой Народной Республике (далее</w:t>
      </w:r>
      <w:r w:rsidR="00BA7A7D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A7A7D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Донецкстат), с учетом доведенных Министерством экономического развития Российской Федерации письмом </w:t>
      </w:r>
      <w:r w:rsidR="00BA7A7D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от 3 мая 2024 года №</w:t>
      </w:r>
      <w:r w:rsidR="00BA7A7D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15354-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ВД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Д14и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Style w:val="fontstyle01"/>
        </w:rPr>
        <w:t xml:space="preserve">сценарных условий функционирования экономики Российской Федерации, основных параметров прогноза </w:t>
      </w:r>
      <w:r w:rsidR="00BA7A7D" w:rsidRPr="00C3327C">
        <w:rPr>
          <w:rStyle w:val="fontstyle01"/>
        </w:rPr>
        <w:br/>
      </w:r>
      <w:r w:rsidRPr="00C3327C">
        <w:rPr>
          <w:rStyle w:val="fontstyle01"/>
        </w:rPr>
        <w:t>социально-экономического развития Российской Федерации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секторе, на 2025 год</w:t>
      </w:r>
      <w:proofErr w:type="gramEnd"/>
      <w:r w:rsidRPr="00C3327C">
        <w:rPr>
          <w:rStyle w:val="fontstyle01"/>
        </w:rPr>
        <w:t xml:space="preserve"> и на плановый период 2026 и 2027 годов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Основные показатели учитывают два варианта – базовый (описывает наиболее вероятный сценарий развития экономики с учетом относительно оптимистичных изменений внешних условий) и консервативный (основан </w:t>
      </w:r>
      <w:r w:rsidR="00B37782" w:rsidRPr="00C3327C">
        <w:rPr>
          <w:color w:val="000000"/>
        </w:rPr>
        <w:br/>
      </w:r>
      <w:r w:rsidRPr="00C3327C">
        <w:rPr>
          <w:color w:val="000000"/>
        </w:rPr>
        <w:t>на предпосылках об ухудшении внешнеэкономических условий и более сдержанном восстановлении внутреннего спроса).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Сопоставление параметров прогноза с ранее утвержденными параметрами не представляется возможным в связи с отсутствием утвержденного прогноза социально-экономического развития Донецкой Народной Республики на среднесрочный период.</w:t>
      </w:r>
    </w:p>
    <w:p w:rsidR="00FA54E9" w:rsidRPr="00C3327C" w:rsidRDefault="00FA54E9" w:rsidP="0094220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38842708_Копия_1"/>
      <w:bookmarkEnd w:id="1"/>
    </w:p>
    <w:p w:rsidR="00FA54E9" w:rsidRPr="00C3327C" w:rsidRDefault="00FA54E9" w:rsidP="00942207">
      <w:pPr>
        <w:pStyle w:val="11"/>
        <w:spacing w:line="240" w:lineRule="auto"/>
        <w:ind w:firstLine="709"/>
        <w:jc w:val="both"/>
      </w:pPr>
    </w:p>
    <w:p w:rsidR="00FA54E9" w:rsidRPr="00C3327C" w:rsidRDefault="002B21FB" w:rsidP="00942207">
      <w:pPr>
        <w:pStyle w:val="af0"/>
        <w:numPr>
          <w:ilvl w:val="0"/>
          <w:numId w:val="1"/>
        </w:numPr>
        <w:ind w:left="0" w:right="-1" w:firstLine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Оценка достигнутого уровня социально-экономического развития</w:t>
      </w:r>
    </w:p>
    <w:p w:rsidR="00FA54E9" w:rsidRPr="00C3327C" w:rsidRDefault="002B21FB" w:rsidP="00942207">
      <w:pPr>
        <w:pStyle w:val="af0"/>
        <w:ind w:left="0" w:right="-1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Донецкой Народной Республики за 2024 год</w:t>
      </w:r>
      <w:r w:rsidRPr="00C3327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1"/>
      </w:r>
    </w:p>
    <w:p w:rsidR="00FA54E9" w:rsidRPr="00C3327C" w:rsidRDefault="00FA54E9" w:rsidP="0094220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2023 году экономика Донецкой Народной Республики продолжила демонстрировать рост. По оценке Министерства экономического развития Донецкой Народной Республики валовый региональный продукт по итогам 2023 года увеличился на 24,4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по сравнению с предыдущим годом и составил 196 974,7 млн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руб. Экономика Донецкой Народной Республики не претерпела существенных изменений. Ведущей отраслью в структуре экономики является промышленность. 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Анализ текущего социально-экономического состояния Донецкой Народной Республики показывает, что оборот организаций в первом квартале 2024 года по сравнению с аналогичным периодом 2023 года увеличился 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на 9,5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C3327C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. Наибольшее увеличение произошло в таких видах экономической деятельности как: профессиональная, научная и техническая деятельность –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в 3 раза; государственное управление и обеспечение военной безопасности; социальное обеспечение – в 2,3 раза;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– на 74,9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%; водоснабжение; водоотведение, организация сбора и утилизации отходов, деятельность 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по ликвидации загрязнений – на 68,1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%; строительство – на 64,8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%; обрабатывающие производства – на 62,1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%; деятельность в области здравоохранения и социальных услуг – на 58,9 %. 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сфере промышленности объем отгруженных товаров собственного производства, выполненных работ и услуг собственными силами в январе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мае 2024 года по сравнению с аналогичным периодом 2023 года увеличился 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33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20,5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Pr="00C33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добыче полезных ископаемых увеличение произошло на 39,4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г/г; в обрабатывающих производствах – на 32,2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г/г; в водоснабжении;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водоотведении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организации сбора и утилизации отходов, деятельности 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по ликвидации загрязнений – на 51,8</w:t>
      </w:r>
      <w:r w:rsidR="00BB30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г/г; в обеспечении электрической энергией, газом и паром; кондиционировании воздуха произошло </w:t>
      </w:r>
      <w:r w:rsidR="007B41E0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сокращение – на 3,8 % г/г.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Наибольшее увеличение объема отгруженных товаров собственного производства, выполненных работ и услуг собственными силами в январе-мае 2024 года зафиксировано в производстве кокса и нефтепродуктов – в 2,4 раза г/г; добыче прочих полезных ископаемых – в 2,0 раза г/г; производстве прочей неметаллической минеральной продукции – в 1,8 раза г/г; деятельности полиграфической и копировании носителей информации – на 47,2</w:t>
      </w:r>
      <w:r w:rsidR="007B41E0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г/г;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производстве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металлургическом – на 42,6 % г/г.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Объем работ, выполненных по виду деятельности «Строительство»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в январе-мае 2024 года по сравнению с аналогичным периодом предыдущего года сократился в 11,5 раза (в мае 2024 объем работ, выполненных по виду деятельности «Строительство» увеличился в 9,5 раз по сравнению с началом года).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Объем введенных в действие жилых домов в январе-мае 2024 года сократился на 16,0 % по сравнению с аналогичным периодом 2023 года.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первом квартале 2024 года в экономику Донецкой Народной Республики вложено инвестиций в основной капитал (по организациям,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относящимся к субъектам малого предпринимательства) в 1,8 раза больше по сравнению с аналогичным периодом предыдущего года. 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Соотношение собственных и привлеченных средств инвестирования составило 49,9 % и 50,1 % соответственно. Среди привлеченных средств наибольший удельный вес занимают бюджетные средства (25,0 % от общего объема привлеченных средств), прочие источники (23,7 %).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Ведущими отраслями экономики по объему инвестиций в основной капитал являются: промышленность (39,0</w:t>
      </w:r>
      <w:r w:rsidR="00BB0A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от общего объема инвестиций); сельское, лесное хозяйство, охота, рыболовство и рыбоводство (21,0</w:t>
      </w:r>
      <w:r w:rsidR="00BB0A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%); транспортировка и хранение (17,6 %).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По данным таможенной статистики внешнеторговый оборот в январе</w:t>
      </w:r>
      <w:r w:rsidR="00BB0A99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мае 2024 года по сравнению с аналогичным периодом 2023 года увеличился </w:t>
      </w:r>
      <w:r w:rsidR="00BB0A99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1,9 раза.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Оборот розничной торговли в январе</w:t>
      </w:r>
      <w:r w:rsidR="00BB0A99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мае 2024 года сократился в 2,1 раза по сравнению с аналогичным периодом предыдущего года</w:t>
      </w:r>
      <w:r w:rsidRPr="00C3327C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Оборот оптовой торговли в январе</w:t>
      </w:r>
      <w:r w:rsidR="00BB0A99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мае 2024 года по сравнению </w:t>
      </w:r>
      <w:r w:rsidR="00BB0A99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 аналогичным периодом 2023 года сократился в 2,3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раза</w:t>
      </w:r>
      <w:r w:rsidRPr="00C3327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54E9" w:rsidRPr="00C3327C" w:rsidRDefault="002B21FB" w:rsidP="00942207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По оперативным данным Донецкстата в январе</w:t>
      </w:r>
      <w:r w:rsidR="00BB0A99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мае 2024 года</w:t>
      </w:r>
      <w:r w:rsidRPr="00C3327C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населению было оказано платных услуг на 47,7</w:t>
      </w:r>
      <w:r w:rsidR="00BB0A9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больше по сравнению с аналогичным периодом 2023 года.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Среднесписочная численность работников в целом по экономике 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январе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мае 2024 года по сравнению с аналогичным периодом 2023 года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сократилась на 8,0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%. Наибольшее</w:t>
      </w:r>
      <w:r w:rsidRPr="00C332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сокращение</w:t>
      </w:r>
      <w:r w:rsidRPr="00C3327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зафиксировано в сельском, лесном хозяйстве, охоте, рыболовстве и рыбоводстве – на 58,5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г/г; деятельности гостиниц и предприятий общественного питания – на 49,5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г/г; торговле оптовой и розничной, ремонте автотранспортных средств 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 мотоциклов – на 44,9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г/г;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области информации и связи – 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на 23,5 % г/г.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Рост численности работников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в январе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мае 2024 года к аналогичному периоду 2023 года зафиксирован в строительстве – на 81,3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г/г; 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деятельности профессиональной, научной и технической – на 13,4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г/г; 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сфере государственного управления и обеспечения военной безопасности; социального обеспечения – на 10,0 % г/г.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промышленности среднесписочная численность работников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сократилась на 11,9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%. Наибольшее сокращение зафиксировано 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обрабатывающих производствах – на 23,0 %.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Среднемесячная начисленная заработная плата всех работников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предприятий, учреждений и организаций Республики в январе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мае 2024 года увеличилась на 40,1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по сравнению с аналогичным периодом предыдущего года.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Наибольший рост отмечается в строительстве – в 2,7 раза г/г; транспортировке и хранении – на 87,0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г/г; деятельности в области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информации и связи – на 69,9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г/г; деятельности по операциям с недвижимым имуществом – на 68,4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г/г; финансовой и страховой деятельности – на 64,5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г/г; деятельности гостиниц и предприятий общественного питания – на 60,1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г/г;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обеспечении военной безопасности; социальном обеспечении – на 57,0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г/г; административной деятельности 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 сопутствующих дополнительных услугах – на 54,1 % г/г.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="00E8428A" w:rsidRPr="00C3327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рост </w:t>
      </w:r>
      <w:bookmarkStart w:id="2" w:name="_Hlk165128638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среднемесячной начисленной заработной платы работников </w:t>
      </w:r>
      <w:bookmarkEnd w:id="2"/>
      <w:r w:rsidRPr="00C3327C">
        <w:rPr>
          <w:rFonts w:ascii="Times New Roman" w:hAnsi="Times New Roman" w:cs="Times New Roman"/>
          <w:color w:val="000000"/>
          <w:sz w:val="28"/>
          <w:szCs w:val="28"/>
        </w:rPr>
        <w:t>в сфере промышленности в январе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мае 2024 года по сравнению 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с аналогичным периодом предыдущего года составил 46,4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%. Наибольшее увеличение зафиксировано в обрабатывающих производствах – на 58,5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г/г; обеспечении электрической энергией, газом и паром; кондиционировании воздуха – на 47,8 % г/г.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Индекс потребительских цен в июне 2024 года к декабрю 2023 года составил 101,88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%, в том числе на продовольственные товары – 101,58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%; непродовольственные товары – 100,65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%; услуги – 104,03</w:t>
      </w:r>
      <w:r w:rsidR="0030619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%.</w:t>
      </w:r>
      <w:r w:rsidRPr="00C3327C">
        <w:rPr>
          <w:color w:val="000000"/>
        </w:rPr>
        <w:t xml:space="preserve"> </w:t>
      </w:r>
    </w:p>
    <w:p w:rsidR="00FA54E9" w:rsidRPr="00C3327C" w:rsidRDefault="00FA54E9" w:rsidP="0094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E9" w:rsidRPr="00C3327C" w:rsidRDefault="002B21FB" w:rsidP="00942207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Оценка факторов и ограничений экономического роста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Донецкой</w:t>
      </w:r>
      <w:proofErr w:type="gramEnd"/>
    </w:p>
    <w:p w:rsidR="00FA54E9" w:rsidRPr="00C3327C" w:rsidRDefault="002B21FB" w:rsidP="00942207">
      <w:pPr>
        <w:pStyle w:val="11"/>
        <w:spacing w:line="240" w:lineRule="auto"/>
        <w:ind w:firstLine="0"/>
        <w:jc w:val="center"/>
      </w:pPr>
      <w:r w:rsidRPr="00C3327C">
        <w:rPr>
          <w:rFonts w:eastAsiaTheme="minorHAnsi"/>
          <w:color w:val="000000"/>
        </w:rPr>
        <w:t xml:space="preserve">Народной Республики </w:t>
      </w:r>
      <w:r w:rsidRPr="00C3327C">
        <w:rPr>
          <w:color w:val="000000"/>
        </w:rPr>
        <w:t>на 2025 год и на плановый период 2026 и 2027 годов</w:t>
      </w:r>
    </w:p>
    <w:p w:rsidR="00FA54E9" w:rsidRPr="00C3327C" w:rsidRDefault="00FA54E9" w:rsidP="0094220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A54E9" w:rsidRPr="00C3327C" w:rsidRDefault="002B21FB" w:rsidP="00942207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факторами, сдерживающими экономический рост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Донецкой Народной Республики</w:t>
      </w:r>
      <w:r w:rsidRPr="00C3327C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являются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непрекращающиеся боевые действия </w:t>
      </w:r>
      <w:r w:rsidR="00791043" w:rsidRPr="00C332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Pr="00C332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Донецкой Народной Республики</w:t>
      </w:r>
      <w:r w:rsidRPr="00C332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масштабные разрушения промышленной, топливно-энергетической и коммунальной инфраструктур</w:t>
      </w:r>
      <w:r w:rsidR="00791043" w:rsidRPr="00C332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</w:t>
      </w:r>
      <w:r w:rsidRPr="00C332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необходимость полного восстановления и масштабного нового строительства.</w:t>
      </w:r>
    </w:p>
    <w:p w:rsidR="00FA54E9" w:rsidRPr="00C3327C" w:rsidRDefault="002B21FB" w:rsidP="005B7809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К одной из ключевых проблем, ограничивающих экономический рост, следует отнести отток трудоспособного населения, что обуславливает значительный дефицит рабочей силы.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33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сдерживают развитие промышленного сектора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Донецкой</w:t>
      </w:r>
      <w:r w:rsidR="00791043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Народной Республики </w:t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 оборотных сре</w:t>
      </w:r>
      <w:proofErr w:type="gramStart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развития и увеличения объемов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производства, критический износ основных фондов ввиду отсутствия средств на проведение плановых ремонтно-восстановительных работ и капитальных ремонтов.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proofErr w:type="gramStart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Донецкой Народной Республики действуют более низкие тарифы на электрическую энергию по сравнению со смежными субъектами Российской Федерации, что способствует созданию более привлекательных условий для инвестиционного климата в реальном секторе экономики. Таким образом, тарифы на электрическую энергию на территории Донецкой Народной Республики не оказывают влияния «удорожания» </w:t>
      </w:r>
      <w:r w:rsidR="00791043"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производимую и реализуемую продукцию. 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В свою очередь, действующие тарифы на электрическую энергию </w:t>
      </w:r>
      <w:r w:rsidR="00791043" w:rsidRPr="00C3327C">
        <w:rPr>
          <w:color w:val="000000"/>
        </w:rPr>
        <w:br/>
      </w:r>
      <w:r w:rsidRPr="00C3327C">
        <w:rPr>
          <w:color w:val="000000"/>
        </w:rPr>
        <w:t xml:space="preserve">не позволяют энергетической отрасли в полном объеме получить необходимую валовую выручку. </w:t>
      </w:r>
      <w:proofErr w:type="gramStart"/>
      <w:r w:rsidRPr="00C3327C">
        <w:rPr>
          <w:color w:val="000000"/>
        </w:rPr>
        <w:t xml:space="preserve">Для осуществления производственно-хозяйственной деятельности, в том числе оплаты за потребленные энергетические ресурсы (угольная продукция, природный газ) предприятиям электроэнергетики </w:t>
      </w:r>
      <w:r w:rsidR="00791043" w:rsidRPr="00C3327C">
        <w:rPr>
          <w:color w:val="000000"/>
        </w:rPr>
        <w:br/>
        <w:t>в соответствии с п</w:t>
      </w:r>
      <w:r w:rsidRPr="00C3327C">
        <w:rPr>
          <w:color w:val="000000"/>
        </w:rPr>
        <w:t xml:space="preserve">остановлением Правительства Российской Федерации </w:t>
      </w:r>
      <w:r w:rsidR="00791043" w:rsidRPr="00C3327C">
        <w:rPr>
          <w:color w:val="000000"/>
        </w:rPr>
        <w:br/>
      </w:r>
      <w:r w:rsidRPr="00C3327C">
        <w:rPr>
          <w:color w:val="000000"/>
        </w:rPr>
        <w:t>от 29 июля 2023 года №</w:t>
      </w:r>
      <w:r w:rsidR="00791043" w:rsidRPr="00C3327C">
        <w:rPr>
          <w:color w:val="000000"/>
        </w:rPr>
        <w:t> </w:t>
      </w:r>
      <w:r w:rsidRPr="00C3327C">
        <w:rPr>
          <w:color w:val="000000"/>
        </w:rPr>
        <w:t>1230 «Об особенностях применения законодательства Российской Федерации в сфере электроэнергетики на территориях Донецкой Народной Республики, Луганской Народной Республики, Запорожской области и Херсонской области» предусматривается субсидия из федерального бюджета.</w:t>
      </w:r>
      <w:proofErr w:type="gramEnd"/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proofErr w:type="gramStart"/>
      <w:r w:rsidRPr="00C3327C">
        <w:rPr>
          <w:color w:val="000000"/>
        </w:rPr>
        <w:t xml:space="preserve">Снижению нагрузки на бюджет и выходу энергетической отрасли </w:t>
      </w:r>
      <w:r w:rsidR="00B91358" w:rsidRPr="00C3327C">
        <w:rPr>
          <w:color w:val="000000"/>
        </w:rPr>
        <w:br/>
      </w:r>
      <w:r w:rsidRPr="00C3327C">
        <w:rPr>
          <w:color w:val="000000"/>
        </w:rPr>
        <w:t xml:space="preserve">на безубыточный уровень будет способствовать повышение уровня промышленного производства (увеличение потребления электрической энергии промышленными предприятиями, что повлияет на снижение себестоимости производства и передачи электрической энергии и, как следствие, убытков) </w:t>
      </w:r>
      <w:r w:rsidR="00B91358" w:rsidRPr="00C3327C">
        <w:rPr>
          <w:color w:val="000000"/>
        </w:rPr>
        <w:br/>
      </w:r>
      <w:r w:rsidRPr="00C3327C">
        <w:rPr>
          <w:color w:val="000000"/>
        </w:rPr>
        <w:t xml:space="preserve">и увеличение доходности домохозяйств (установление тарифов </w:t>
      </w:r>
      <w:r w:rsidR="00B91358" w:rsidRPr="00C3327C">
        <w:rPr>
          <w:color w:val="000000"/>
        </w:rPr>
        <w:br/>
      </w:r>
      <w:r w:rsidRPr="00C3327C">
        <w:rPr>
          <w:color w:val="000000"/>
        </w:rPr>
        <w:t>на</w:t>
      </w:r>
      <w:r w:rsidR="00B91358" w:rsidRPr="00C3327C">
        <w:rPr>
          <w:color w:val="000000"/>
        </w:rPr>
        <w:t xml:space="preserve"> </w:t>
      </w:r>
      <w:r w:rsidRPr="00C3327C">
        <w:rPr>
          <w:color w:val="000000"/>
        </w:rPr>
        <w:t>электрическую энергию на безубыточном уровне без изменения доли стоимости квитанции на оплату жилищно-коммунальных услуг в доходе</w:t>
      </w:r>
      <w:proofErr w:type="gramEnd"/>
      <w:r w:rsidRPr="00C3327C">
        <w:rPr>
          <w:color w:val="000000"/>
        </w:rPr>
        <w:t xml:space="preserve"> домохозяйств, что предусмотрено </w:t>
      </w:r>
      <w:r w:rsidR="00B91358" w:rsidRPr="00C3327C">
        <w:rPr>
          <w:color w:val="000000"/>
        </w:rPr>
        <w:t>п</w:t>
      </w:r>
      <w:r w:rsidRPr="00C3327C">
        <w:rPr>
          <w:color w:val="000000"/>
        </w:rPr>
        <w:t xml:space="preserve">ротоколом заседания Рабочей группы </w:t>
      </w:r>
      <w:r w:rsidR="00B91358" w:rsidRPr="00C3327C">
        <w:rPr>
          <w:color w:val="000000"/>
        </w:rPr>
        <w:br/>
      </w:r>
      <w:r w:rsidRPr="00C3327C">
        <w:rPr>
          <w:color w:val="000000"/>
        </w:rPr>
        <w:t>по реализации специального инфраструктурного проекта от 3 мая 2023 года</w:t>
      </w:r>
      <w:r w:rsidR="00B91358" w:rsidRPr="00C3327C">
        <w:rPr>
          <w:color w:val="000000"/>
        </w:rPr>
        <w:t xml:space="preserve"> </w:t>
      </w:r>
      <w:r w:rsidRPr="00C3327C">
        <w:rPr>
          <w:color w:val="000000"/>
        </w:rPr>
        <w:t>№</w:t>
      </w:r>
      <w:r w:rsidR="00B91358" w:rsidRPr="00C3327C">
        <w:rPr>
          <w:color w:val="000000"/>
        </w:rPr>
        <w:t> </w:t>
      </w:r>
      <w:r w:rsidRPr="00C3327C">
        <w:rPr>
          <w:color w:val="000000"/>
        </w:rPr>
        <w:t>31).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 учетом имеющихся </w:t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факторов </w:t>
      </w:r>
      <w:r w:rsidRPr="00C332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территории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Донецкой Народной Республики</w:t>
      </w:r>
      <w:r w:rsidRPr="00C332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принимаются меры по восстановлению разрушенной инфраструктуры для налаживания жизни и запуска производства простаивающих предприятий, увеличения доли </w:t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всей выпускаемой промышленной продукции, развития конкурентоспособной промышленности, развития инвестиционного потенциала региона, </w:t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доведения имеющейся инфраструктуры к среднероссийским показателям.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По ряду основных социально-экономических показателей Донецкая</w:t>
      </w:r>
      <w:r w:rsidRPr="00C3327C">
        <w:rPr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Народная Республика не достигает среднероссийских показателей и целевой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ориентир на достижение среднероссийского уровня предусмотрен к 2030 году Программой социально-экономического развития Донецкой Народной Республики, Луганской Народной Республики, Запорожской области </w:t>
      </w:r>
      <w:r w:rsidR="00B91358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 Хе</w:t>
      </w:r>
      <w:r w:rsidR="00B91358" w:rsidRPr="00C3327C">
        <w:rPr>
          <w:rFonts w:ascii="Times New Roman" w:hAnsi="Times New Roman" w:cs="Times New Roman"/>
          <w:color w:val="000000"/>
          <w:sz w:val="28"/>
          <w:szCs w:val="28"/>
        </w:rPr>
        <w:t>рсонской области, утвержденной р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аспоряжением Правительства</w:t>
      </w:r>
      <w:r w:rsidR="00B91358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21 апреля 2023 года №</w:t>
      </w:r>
      <w:r w:rsidR="00B91358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1019-р (далее – Федеральная программа), а также Программой социально-экономического развития Донецкой Народной Республики, утвержденной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358" w:rsidRPr="00C332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Донецкой Народной Республики от 28 апреля 2023 года №</w:t>
      </w:r>
      <w:r w:rsidR="00B91358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29-1 (далее – Региональная программа).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Мероприятия указанных программ направлены на развитие конкурентоспособной промышленности, сельского хозяйства и модернизацию инфраструктуры, развитие инвестиционного потенциала региона, в том числе </w:t>
      </w:r>
      <w:r w:rsidR="0088435C" w:rsidRPr="00C3327C">
        <w:rPr>
          <w:color w:val="000000"/>
        </w:rPr>
        <w:br/>
      </w:r>
      <w:r w:rsidRPr="00C3327C">
        <w:rPr>
          <w:color w:val="000000"/>
        </w:rPr>
        <w:t xml:space="preserve">и в </w:t>
      </w:r>
      <w:proofErr w:type="spellStart"/>
      <w:r w:rsidRPr="00C3327C">
        <w:rPr>
          <w:color w:val="000000"/>
        </w:rPr>
        <w:t>агросфере</w:t>
      </w:r>
      <w:proofErr w:type="spellEnd"/>
      <w:r w:rsidRPr="00C3327C">
        <w:rPr>
          <w:rFonts w:eastAsia="Calibri"/>
          <w:color w:val="000000"/>
        </w:rPr>
        <w:t>;</w:t>
      </w:r>
      <w:r w:rsidRPr="00C3327C">
        <w:rPr>
          <w:color w:val="000000"/>
        </w:rPr>
        <w:t xml:space="preserve"> улучшение жилищных условий </w:t>
      </w:r>
      <w:proofErr w:type="gramStart"/>
      <w:r w:rsidRPr="00C3327C">
        <w:rPr>
          <w:color w:val="000000"/>
        </w:rPr>
        <w:t>граждан</w:t>
      </w:r>
      <w:proofErr w:type="gramEnd"/>
      <w:r w:rsidRPr="00C3327C">
        <w:rPr>
          <w:color w:val="000000"/>
        </w:rPr>
        <w:t xml:space="preserve"> как в городской, так </w:t>
      </w:r>
      <w:r w:rsidR="0088435C" w:rsidRPr="00C3327C">
        <w:rPr>
          <w:color w:val="000000"/>
        </w:rPr>
        <w:br/>
      </w:r>
      <w:r w:rsidRPr="00C3327C">
        <w:rPr>
          <w:color w:val="000000"/>
        </w:rPr>
        <w:t xml:space="preserve">и сельской местности и повышение качества предоставления коммунальных услуг, восстановление социальной, </w:t>
      </w:r>
      <w:r w:rsidRPr="00C3327C">
        <w:rPr>
          <w:rFonts w:eastAsia="Calibri"/>
          <w:color w:val="000000"/>
        </w:rPr>
        <w:t xml:space="preserve">транспортной </w:t>
      </w:r>
      <w:r w:rsidRPr="00C3327C">
        <w:rPr>
          <w:color w:val="000000"/>
        </w:rPr>
        <w:t>инфраструктуры региона</w:t>
      </w:r>
      <w:r w:rsidRPr="00C3327C">
        <w:rPr>
          <w:rFonts w:eastAsia="Calibri"/>
          <w:color w:val="000000"/>
        </w:rPr>
        <w:t>;</w:t>
      </w:r>
      <w:r w:rsidRPr="00C3327C">
        <w:rPr>
          <w:color w:val="000000"/>
        </w:rPr>
        <w:t xml:space="preserve"> формирование качественных и доступных систем здравоохранения, образования, культуры и спорта, отвечающих высоким мировым стандартам, обеспечение достойного уровня жизни.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Кроме того, </w:t>
      </w:r>
      <w:r w:rsidR="0088435C" w:rsidRPr="00C3327C">
        <w:rPr>
          <w:color w:val="000000"/>
        </w:rPr>
        <w:t>п</w:t>
      </w:r>
      <w:r w:rsidRPr="00C3327C">
        <w:rPr>
          <w:color w:val="000000"/>
        </w:rPr>
        <w:t xml:space="preserve">остановлением Правительства Российской Федерации </w:t>
      </w:r>
      <w:r w:rsidRPr="00C3327C">
        <w:rPr>
          <w:color w:val="000000"/>
        </w:rPr>
        <w:br/>
        <w:t xml:space="preserve">от 22 декабря 2023 года № 2255 утверждена государственная программа Российской Федерации «Восстановление и социально-экономическое развитие Донецкой Народной Республики, Луганской Народной Республики, Запорожской области и Херсонской области» (далее – Государственная программа). Основной целью Государственной программы является преодоление социально-экономического отставания Донецкой Народной Республики, Луганской Народной Республики, Запорожской области </w:t>
      </w:r>
      <w:r w:rsidR="0088435C" w:rsidRPr="00C3327C">
        <w:rPr>
          <w:color w:val="000000"/>
        </w:rPr>
        <w:br/>
      </w:r>
      <w:r w:rsidRPr="00C3327C">
        <w:rPr>
          <w:color w:val="000000"/>
        </w:rPr>
        <w:t>и Херсонской области, а также достижение указанными субъектами Российской Федерации к 2030 году уровня среднероссийских показателей качества жизни граждан Российской Федерации и общероссийского уровня социально-экономического развития.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>Реализация Государственной программы преследует следующие цели: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обеспечение жизнедеятельности и восстановление инфраструктуры </w:t>
      </w:r>
      <w:r w:rsidR="0088435C" w:rsidRPr="00C3327C">
        <w:rPr>
          <w:color w:val="000000"/>
        </w:rPr>
        <w:br/>
      </w:r>
      <w:r w:rsidRPr="00C3327C">
        <w:rPr>
          <w:color w:val="000000"/>
        </w:rPr>
        <w:t>на территориях Донецкой Народной Республики, Луганской Народной Республики, Запорожской области и Херсонской области в целях обеспечения жизнедеятельности населения;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создание благоприятного инвестиционного климата на территориях Донецкой Народной Республики, Луганской Народной Республики, Запорожской области и Херсонской области, обеспечивающего привлечение инвестиций участников свободной экономической зоны в основной капитал </w:t>
      </w:r>
      <w:r w:rsidR="0088435C" w:rsidRPr="00C3327C">
        <w:rPr>
          <w:color w:val="000000"/>
        </w:rPr>
        <w:br/>
      </w:r>
      <w:r w:rsidRPr="00C3327C">
        <w:rPr>
          <w:color w:val="000000"/>
        </w:rPr>
        <w:t xml:space="preserve">в объеме 52,7 </w:t>
      </w:r>
      <w:proofErr w:type="gramStart"/>
      <w:r w:rsidRPr="00C3327C">
        <w:rPr>
          <w:color w:val="000000"/>
        </w:rPr>
        <w:t>млн</w:t>
      </w:r>
      <w:proofErr w:type="gramEnd"/>
      <w:r w:rsidRPr="00C3327C">
        <w:rPr>
          <w:color w:val="000000"/>
        </w:rPr>
        <w:t xml:space="preserve"> рублей на одного участника свободной экономической зоны к 2030 году.</w:t>
      </w:r>
    </w:p>
    <w:p w:rsidR="00FA54E9" w:rsidRPr="00C3327C" w:rsidRDefault="002B21FB" w:rsidP="009422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Также к факторам, которые положительно влияют на развитие экономической ситуации, относятся интеграционные процессы </w:t>
      </w:r>
      <w:r w:rsidR="0088435C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435C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экономическую, финансовую, кредитную и правовую системы Российской Федерации.</w:t>
      </w:r>
    </w:p>
    <w:p w:rsidR="00FA54E9" w:rsidRPr="00C3327C" w:rsidRDefault="002B21FB" w:rsidP="00942207"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Направления социально-экономического развития </w:t>
      </w: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Донецкой Народной Республики и целевые показатели прогноза </w:t>
      </w:r>
      <w:r w:rsidR="0088435C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социально-экономического развития Донецкой Народной Республики </w:t>
      </w: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</w:t>
      </w:r>
    </w:p>
    <w:p w:rsidR="00FA54E9" w:rsidRPr="00C3327C" w:rsidRDefault="00FA54E9" w:rsidP="0094220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Население</w:t>
      </w:r>
    </w:p>
    <w:p w:rsidR="00FA54E9" w:rsidRPr="00C3327C" w:rsidRDefault="00FA54E9" w:rsidP="00942207">
      <w:pPr>
        <w:pStyle w:val="11"/>
        <w:spacing w:line="240" w:lineRule="auto"/>
        <w:ind w:firstLine="709"/>
        <w:jc w:val="both"/>
        <w:rPr>
          <w:sz w:val="22"/>
          <w:szCs w:val="22"/>
        </w:rPr>
      </w:pP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Демографическая ситуация и состояние здоровья населения Донецкой Народной Республики характеризуется неудовлетворительными показателями. Так, сохраняется естественная убыль населения, обусловленная низкой рождаемостью и высоким уровнем смертности, увеличивается доля лиц </w:t>
      </w:r>
      <w:r w:rsidR="000028CD" w:rsidRPr="00C3327C">
        <w:rPr>
          <w:color w:val="000000"/>
        </w:rPr>
        <w:br/>
      </w:r>
      <w:r w:rsidRPr="00C3327C">
        <w:rPr>
          <w:color w:val="000000"/>
        </w:rPr>
        <w:t xml:space="preserve">в возрасте старше трудоспособного, что усугубляет демографическую нагрузку на трудоспособное население и способствует росту общей заболеваемости </w:t>
      </w:r>
      <w:r w:rsidR="000028CD" w:rsidRPr="00C3327C">
        <w:rPr>
          <w:color w:val="000000"/>
        </w:rPr>
        <w:br/>
      </w:r>
      <w:r w:rsidRPr="00C3327C">
        <w:rPr>
          <w:color w:val="000000"/>
        </w:rPr>
        <w:t>и смертности от хронических неинфекционных болезней, а также сохраняется высокий уровень младенческой смертности и наличие случаев материнской смертности.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>Данные по численности населения (показатель «Численность населения (в среднегодовом исчислении)») за 2022 год, 2023 год и прогнозные значения на 2024</w:t>
      </w:r>
      <w:r w:rsidR="000028CD" w:rsidRPr="00C3327C">
        <w:rPr>
          <w:color w:val="000000"/>
        </w:rPr>
        <w:t>-</w:t>
      </w:r>
      <w:r w:rsidRPr="00C3327C">
        <w:rPr>
          <w:color w:val="000000"/>
        </w:rPr>
        <w:t>2025 годы предусмотрены Федеральной и Региональной программой, на 2026</w:t>
      </w:r>
      <w:r w:rsidR="000028CD" w:rsidRPr="00C3327C">
        <w:rPr>
          <w:color w:val="000000"/>
        </w:rPr>
        <w:t>-</w:t>
      </w:r>
      <w:r w:rsidRPr="00C3327C">
        <w:rPr>
          <w:color w:val="000000"/>
        </w:rPr>
        <w:t>2027 годы – расчетные данные на основе указанных программ.</w:t>
      </w:r>
    </w:p>
    <w:p w:rsidR="00FA54E9" w:rsidRPr="00C3327C" w:rsidRDefault="00FA54E9" w:rsidP="0094220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Валовой региональный продукт</w:t>
      </w:r>
    </w:p>
    <w:p w:rsidR="00FA54E9" w:rsidRPr="00C3327C" w:rsidRDefault="00FA54E9" w:rsidP="00942207">
      <w:pPr>
        <w:pStyle w:val="11"/>
        <w:spacing w:line="240" w:lineRule="auto"/>
        <w:ind w:firstLine="709"/>
        <w:jc w:val="both"/>
        <w:rPr>
          <w:sz w:val="22"/>
          <w:szCs w:val="22"/>
        </w:rPr>
      </w:pP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Экспериментальный расчет валового регионального продукта (далее </w:t>
      </w:r>
      <w:proofErr w:type="gramStart"/>
      <w:r w:rsidRPr="00C3327C">
        <w:rPr>
          <w:color w:val="000000"/>
        </w:rPr>
        <w:t>–В</w:t>
      </w:r>
      <w:proofErr w:type="gramEnd"/>
      <w:r w:rsidRPr="00C3327C">
        <w:rPr>
          <w:color w:val="000000"/>
        </w:rPr>
        <w:t xml:space="preserve">РП) за 2022 год осуществлен производственным методом оценочным путем </w:t>
      </w:r>
      <w:r w:rsidR="000028CD" w:rsidRPr="00C3327C">
        <w:rPr>
          <w:color w:val="000000"/>
        </w:rPr>
        <w:br/>
      </w:r>
      <w:r w:rsidRPr="00C3327C">
        <w:rPr>
          <w:color w:val="000000"/>
        </w:rPr>
        <w:t xml:space="preserve">в текущих рыночных ценах по данным информационной базы, имеющейся </w:t>
      </w:r>
      <w:r w:rsidR="000028CD" w:rsidRPr="00C3327C">
        <w:rPr>
          <w:color w:val="000000"/>
        </w:rPr>
        <w:br/>
      </w:r>
      <w:r w:rsidRPr="00C3327C">
        <w:rPr>
          <w:color w:val="000000"/>
        </w:rPr>
        <w:t xml:space="preserve">в органах государственной статистики, сформированной по показателям форм государственных статистических наблюдений о деятельности предприятий </w:t>
      </w:r>
      <w:r w:rsidR="000028CD" w:rsidRPr="00C3327C">
        <w:rPr>
          <w:color w:val="000000"/>
        </w:rPr>
        <w:br/>
      </w:r>
      <w:r w:rsidRPr="00C3327C">
        <w:rPr>
          <w:color w:val="000000"/>
        </w:rPr>
        <w:t>и физических лиц-предпринимателей.</w:t>
      </w:r>
      <w:r w:rsidR="000028CD" w:rsidRPr="00C3327C">
        <w:rPr>
          <w:color w:val="000000"/>
        </w:rPr>
        <w:t xml:space="preserve"> В оценку не включены данные </w:t>
      </w:r>
      <w:r w:rsidR="000028CD" w:rsidRPr="00C3327C">
        <w:rPr>
          <w:color w:val="000000"/>
        </w:rPr>
        <w:br/>
        <w:t xml:space="preserve">об </w:t>
      </w:r>
      <w:r w:rsidRPr="00C3327C">
        <w:rPr>
          <w:color w:val="000000"/>
        </w:rPr>
        <w:t>объемах нерыночных услуг бюджетной сферы, внебюджетных фондов, некоммерческих организаций, о прибыли и убытках Центрального Республиканского Банка Донецкой Народной Республики, услугах домашних хозяйств, теневой экономики и др.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Методология расчета ВРП Государственной службой статистики Донецкой Народной Республики отличается от методологии расчета ВРП </w:t>
      </w:r>
      <w:hyperlink r:id="rId9" w:tgtFrame="_blank">
        <w:r w:rsidRPr="00C3327C">
          <w:rPr>
            <w:color w:val="000000"/>
          </w:rPr>
          <w:t xml:space="preserve">Федеральной службой государственной статистики (далее – </w:t>
        </w:r>
      </w:hyperlink>
      <w:r w:rsidRPr="00C3327C">
        <w:rPr>
          <w:color w:val="000000"/>
        </w:rPr>
        <w:t xml:space="preserve">Росстат). </w:t>
      </w:r>
      <w:r w:rsidR="000028CD" w:rsidRPr="00C3327C">
        <w:rPr>
          <w:color w:val="000000"/>
        </w:rPr>
        <w:br/>
      </w:r>
      <w:r w:rsidRPr="00C3327C">
        <w:rPr>
          <w:color w:val="000000"/>
        </w:rPr>
        <w:t>Так, Росстат включает в оценку ВРП показатели сектора государственного управления, который в субъектах Российской Федерации может оказывать значимое влияние (доля сектора в ВРП субъектов Российской Федерации может достигать от 3,1</w:t>
      </w:r>
      <w:r w:rsidR="00C45EBB" w:rsidRPr="00C3327C">
        <w:rPr>
          <w:color w:val="000000"/>
        </w:rPr>
        <w:t> </w:t>
      </w:r>
      <w:r w:rsidRPr="00C3327C">
        <w:rPr>
          <w:color w:val="000000"/>
        </w:rPr>
        <w:t>% до 49</w:t>
      </w:r>
      <w:r w:rsidR="00C45EBB" w:rsidRPr="00C3327C">
        <w:rPr>
          <w:color w:val="000000"/>
        </w:rPr>
        <w:t> </w:t>
      </w:r>
      <w:r w:rsidRPr="00C3327C">
        <w:rPr>
          <w:color w:val="000000"/>
        </w:rPr>
        <w:t xml:space="preserve">%). Кроме того, необходимым элементом расчета секторов ВРП является показатель потребления основного капитала, формирование которого осуществляется на основе статистики основного капитала и региональных балансов основных фондов. 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В 2023 году в Донецкой Народной Республике началось проведение федеральных статистических наблюдений в соответствии с российской </w:t>
      </w:r>
      <w:r w:rsidRPr="00C3327C">
        <w:rPr>
          <w:color w:val="000000"/>
        </w:rPr>
        <w:lastRenderedPageBreak/>
        <w:t xml:space="preserve">методологией официальной статистики. Формирование информации </w:t>
      </w:r>
      <w:r w:rsidR="00C45EBB" w:rsidRPr="00C3327C">
        <w:rPr>
          <w:color w:val="000000"/>
        </w:rPr>
        <w:br/>
      </w:r>
      <w:r w:rsidRPr="00C3327C">
        <w:rPr>
          <w:color w:val="000000"/>
        </w:rPr>
        <w:t>по показателям ВРП планируется Росстатом в первой декаде марта 2025 года.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>Министерством экономического развития Донецкой Народной Республики произведен экспериментальный расчет прогнозных значений ВРП на 2024</w:t>
      </w:r>
      <w:r w:rsidR="00C45EBB" w:rsidRPr="00C3327C">
        <w:rPr>
          <w:color w:val="000000"/>
        </w:rPr>
        <w:t>-</w:t>
      </w:r>
      <w:r w:rsidRPr="00C3327C">
        <w:rPr>
          <w:color w:val="000000"/>
        </w:rPr>
        <w:t xml:space="preserve">2027 годы на основании прогноза развития ведущих отраслей экономики, в частности промышленности, сельского хозяйства, оптовой </w:t>
      </w:r>
      <w:r w:rsidR="00C45EBB" w:rsidRPr="00C3327C">
        <w:rPr>
          <w:color w:val="000000"/>
        </w:rPr>
        <w:br/>
      </w:r>
      <w:r w:rsidRPr="00C3327C">
        <w:rPr>
          <w:color w:val="000000"/>
        </w:rPr>
        <w:t>и розничной торговли.</w:t>
      </w:r>
    </w:p>
    <w:p w:rsidR="00FA54E9" w:rsidRPr="00C3327C" w:rsidRDefault="00FA54E9" w:rsidP="00942207">
      <w:pPr>
        <w:pStyle w:val="11"/>
        <w:spacing w:line="240" w:lineRule="auto"/>
        <w:ind w:firstLine="709"/>
        <w:jc w:val="both"/>
      </w:pP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Промышленное производство</w:t>
      </w:r>
    </w:p>
    <w:p w:rsidR="00FA54E9" w:rsidRPr="00C3327C" w:rsidRDefault="00FA54E9" w:rsidP="00942207">
      <w:pPr>
        <w:pStyle w:val="11"/>
        <w:spacing w:line="240" w:lineRule="auto"/>
        <w:ind w:firstLine="709"/>
        <w:jc w:val="both"/>
        <w:rPr>
          <w:sz w:val="22"/>
          <w:szCs w:val="22"/>
        </w:rPr>
      </w:pP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прогнозируемом периоде в Донецкой Народной Республике продолжится постепенное восстановление экономики, увеличение объемов производства всей выпускаемой промышленной продукции, развитие конкурентоспособной промышленности и инвестиционного потенциала региона.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Уже в первом квартале 2024 года объем отгруженной продукции составил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19,05 млрд</w:t>
      </w:r>
      <w:r w:rsidR="00696E13" w:rsidRPr="00C3327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руб., что на 12</w:t>
      </w:r>
      <w:r w:rsidR="00696E13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больше показателя аналогичного периода </w:t>
      </w:r>
      <w:r w:rsidR="00696E13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2023 года.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Донецкой Народной Республике промышленное производство станет приоритетным направлением в 2024 году.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данной задачи планируется проведение модернизации технологического оборудования предприятий промышленности.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 этой целью </w:t>
      </w:r>
      <w:r w:rsidR="00696E13" w:rsidRPr="00C332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Донецкой Народной Республики от 14 июля 2023 года №</w:t>
      </w:r>
      <w:r w:rsidR="00696E13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54-1 утверждена Государственная программа Донецкой Народной Республики «Развитие промышленности Донецкой Народной Республики </w:t>
      </w:r>
      <w:r w:rsidR="00696E13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 повышения ее конкурентоспособности» на 2024</w:t>
      </w:r>
      <w:r w:rsidR="00696E13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-2026 годы, которая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направлена</w:t>
      </w:r>
      <w:r w:rsidRPr="00C33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33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модернизацию и техническое перевооружение</w:t>
      </w:r>
      <w:r w:rsidR="00696E13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производственных мощностей промышленных предприятий, создание и (или) развитие производства высокотехнологичной, конкурентоспособной и экспортно-ориентированной продукции.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Бюджетные ассигнования в рамках указанной программы на 2024 год на возмещение части затрат промышленных предприятий, связанных с приобретением нового оборудования, составляют 146,2 млн</w:t>
      </w:r>
      <w:r w:rsidR="00696E13" w:rsidRPr="00C332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Вместе с тем государственное финансирование поддержки промышленных предприятий Республики осуществляет Фонд развития промышленности Донецкой Народной Республики. Так, в 2023 году фондом профинансированы 14 проектов на общую сумму 679,362 млн</w:t>
      </w:r>
      <w:r w:rsidR="00947207" w:rsidRPr="00C3327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руб., из них: </w:t>
      </w:r>
      <w:r w:rsidR="0094720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5 проектов предприятий машиностроения, 3</w:t>
      </w:r>
      <w:r w:rsidR="00947207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47207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предприятий промышленности строительных и нерудных материалов, 2</w:t>
      </w:r>
      <w:r w:rsidR="00947207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47207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предприятий химической </w:t>
      </w:r>
      <w:r w:rsidR="0094720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 фармацевтической промышленности, 2</w:t>
      </w:r>
      <w:r w:rsidR="00947207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47207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легкой промышленности, </w:t>
      </w:r>
      <w:r w:rsidR="0094720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1 – металлургической промышленности, 1 – мебельной промышленности. </w:t>
      </w:r>
      <w:r w:rsidR="0094720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07.06.2024 на рассмотрении фонда находятся 14 заявок </w:t>
      </w:r>
      <w:r w:rsidR="00982F85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на предоставление финансовой поддержки в виде целевого займа на общую сумму 697,95 млн</w:t>
      </w:r>
      <w:r w:rsidR="00982F85" w:rsidRPr="00C332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руб., профинансировано в 2024 году 8 проектов на общую сумму 324,83 млн</w:t>
      </w:r>
      <w:r w:rsidR="00982F85" w:rsidRPr="00C332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Финансирование предприятий осуществляется для приобретения ими оборудования, пополнения оборотных средств, что позволит увеличить число создаваемых произво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дств в Д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>онецкой Народной Республике, а также обеспечит их конкурентоспособность на рынке.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Также, для развития и поддержки предприятий на территории Донецкой Народной Республики с 24.06.2023 действует свободная экономическая зона.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01.08.2024 участниками свободной экономической </w:t>
      </w:r>
      <w:r w:rsidR="00982F85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зоны</w:t>
      </w:r>
      <w:r w:rsidR="00982F85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стали 64 предприятия Донецкой Народной Республики, которые планируют вложить 28 млрд</w:t>
      </w:r>
      <w:r w:rsidR="00982F85" w:rsidRPr="00C332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руб. инвестиций и создать более 6 тыс. новых рабочих мест. Из них 23 предприятия промышленности: металлургия – 4; машиностроение – 3; химическая промышленность – 5; промышленность строительных и нерудных материалов – 9; производство мебели – 2.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сфере промышленности Донецкой Народной Республики выявлено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58 объектов, рассматриваемых в качестве имущества публично-правовой компании «Фонд развития территорий».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Заключено 9 договоров аренды в отношении 14 объектов промышленности, в том числе: металлургической отрасли – 6 (целостных имущественных комплексов);</w:t>
      </w:r>
      <w:r w:rsidR="008D0AB0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химической отрасли</w:t>
      </w:r>
      <w:r w:rsidR="008D0AB0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D0AB0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2EF7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(целостных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имущественных комплекса);</w:t>
      </w:r>
      <w:r w:rsidR="008D0AB0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промышленности строительных и нерудных материалов – 6 (целостных имущественных комплексов).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Передача в аренду имущества позволит запустить простаивающие производства Донецкой Народной Республики, создать новые рабочие места.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рамках расширения производства и выпуска отечественной продукции проводится работа по запуску предприятий.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Так, по итогам 2023 года на освобожденной территории возобновлена производственная деятельность 12 промышленных предприятий, из них: металлургической отрасли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4; химической и фармацевтической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промышленности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2; промышленность строительных и нерудных 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материалов – 6.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планируют возобновить производственную деятельность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19 промышленных предприятий, из них: металлургической отрасли – 5; машиностроительной отрасли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5; химической и фармацевтической промышленности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4; мебельное производство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B1865" w:rsidRPr="00C3327C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1; промышленность строительных и нерудных материалов – 4.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План развития металлургического комплекса на 2024 год предполагает возобновление производственной деятельности простаивающих предприятий, модернизацию и техническое перевооружение производственных мощностей промышленных предприятий, направленных на создание и развитие производства высокотехнологичной, конкурентоспособной и экспортно-ориентированной продукции. С развитием деятельности угольных шахт коксохимические предприятия Донецкой Народной Республики получат дополнительные объемы сырья (уголь), что позволит увеличить объемы производства коксохимической продукции, что, в свою очередь, позволит металлургическим предприятиям увеличить объемы производства чугуна </w:t>
      </w:r>
      <w:r w:rsidR="00987936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и стали.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Важной составляющей в работе предприятий является развитие логистической инфраструктуры, восстановление разрушенных и строительство новых железнодорожных путей сообщения, а также возобновление деятельности Мариупольского морского порта. Это позволит снизить затраты предприятий на доставку сырья и отгрузку готовой продукции, сократит сроки доставки и повысит ее конкурентоспособность.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По оценкам Министерства промышленности и торговли Донецкой Народной Республики общий планируемый объем инвестиций в 2024 г. составит 12,98 млрд</w:t>
      </w:r>
      <w:r w:rsidR="00987936" w:rsidRPr="00C3327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руб. (собственные средства инвесторов, банковские кредиты, займы Фонда развития промышленности Донецкой Народной Республики), количество создаваемых рабочих мест в 2024 г. – 2 218 человек.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первом квартале текущего года возобновили деятельность Филиал №</w:t>
      </w:r>
      <w:r w:rsidR="0098793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5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Ясиновский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коксохимический завод» ООО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ЮГМК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Донецк» (г.</w:t>
      </w:r>
      <w:r w:rsidR="0098793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Макеевка)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«Завод метизных изделий» (г. Макеевка).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программы по возобновлению производственной деятельност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ММК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ИМ.</w:t>
      </w:r>
      <w:r w:rsidR="0098793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ИЛЬИЧА» в период 2024</w:t>
      </w:r>
      <w:r w:rsidR="00987936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2026</w:t>
      </w:r>
      <w:r w:rsidR="0098793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987936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поэтапное выполнение мероприятий по восстановлению </w:t>
      </w:r>
      <w:r w:rsidR="00987936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 запуску производственных мощностей предприятия.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октябре 2023 года введен в эксплуатацию цех переработки шлаков, специализирующийся на выпуске гранулированного шлака, щебеночно-песчаной смеси. В марте 2024 года введено в эксплуатацию копровое отделение (переработка лома черных металлов). Кроме того, выполнены ремонтно-восстановительные работы и подготовлены к запуску отделение товаров народного потребления (номенклатура производимой продукции – лист профилированный С-10, Н-57, Н-75).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декабре 2023 г. ООО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ММК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ИМ.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ИЛЬИЧА» включено в реестр участников специальной экономической зоны.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2025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2026 гг. планируется проведение мероприятий по восстановлению крупнотоннажного производства минеральных удобрений на промышленных активах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ПАО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«Концерн Стирол».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На основании договора аренды от 5 декабря 2023 года №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ФРТ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НТ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-АР-4/23, заключенного между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«Фонд развития территорий» и АО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РЕВОЛТ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», имущество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ПАО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«Концерн СТИРОЛ», находящееся в управлении ГУП ДНР «СТИРОЛ», передано в пользование АО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РЕВОЛТ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 и создан филиал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РЕВОЛТ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-СТИРОЛ» АО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РЕВОЛТ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РЕВОЛТ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 планирует инвестировать в проект 5,0 млрд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руб.,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том числе капитальные вложения составят 2,5 млрд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руб., оставшаяся сумма (в размере 2,5 млрд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руб.) будет направлена на проведение ремонтных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и пуско-наладочных работ. Возобновление производства позволит создать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до 4 300 новых рабочих мест.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Также на производственной площадке Зуевского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энергомеханического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завода реализуется проект «Создание и развитие нового производства неавтоклавных газобетонных блоков для строительства зданий и сооружений промышленного и гражданского назначения» (ООО «Донбасский газобетон»). Запуск производства запланирован на третий квартал 2024 года. Период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реализации проекта составит 7 лет, предусмотрены инвестиции в размере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100,0 млн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руб., а также создание 60 рабочих мест.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 целью расширения сотрудничества с перспективными партнерами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 дружественных стран в регионе прорабатывается вопрос с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ОАО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Амкодор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ОАО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Могилевлифтмаш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ОАО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СтанкоГомель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» (Республика Беларусь)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реализации совместных проектов, в том числе размещения на территории Донецкой Народной Республики обособленного подразделения (филиала)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или создания совместного предприятия.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привлечения федерального финансирования в регионе прорабатывается вопрос возможности создания промышленного кластера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легкой промышленности и машиностроительном комплексе региона.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Министерством промышленности и торговли Донецкой Народной Республики совместно с Фондом развития промышленности Донецкой Народной Республики подготовлен проект межрегионального межотраслевого промышленного кластера легкой промышленности, который был защищен 21-22 мая 2024 года в городе Омске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на очной сессии «Защита проектов в рамках методической программы Министерства промышленности и торговли Российской Федерации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PROКЛАСТЕРЫ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Одно из ведущих предприятий региона – ООО «НПО «Ясиноватский машиностроительный завод» – включено в межрегиональный промышленный кластер «Кемеровский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-механический завод», который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риказом Министерства промышленности и торговли Российской Федерации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от 29 декабря 2023 года № 5303 включен в перечень промышленных кластеров Российской Федерации. Указанный кластер реализует свою продукцию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импортозамещения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проходческой техники, заменяя технику из Китая, Польши и Германии.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Также Министерством промышленности и торговли Донецкой Народной Республики с целью подготовки и реализации совместных проектов в области машиностроения проводится работа по организации взаимодействия машиностроительных предприятий региона с АО «Концерн воздушно-космической обороны «Алмаз-Антей».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стимулирования предприятий Донецкой Народной Республики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к реализации мер по повышению производительности труда 5 субъектов хозяйствования в сфере промышленности подтвердили желание стать участниками национального проекта «Производительность труда».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Донецкой Народной Республике реализуется специальный инфраструктурный проект по восстановлению разрушенной социальной и промышленной инфраструктуры. В рамках реализации специального инфраструктурного проекта принимают участие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промышленных предприятия.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Участие предприятий промышленности в специальном инфраструктурном проекте способствует увеличению загрузки производственных мощностей, увеличению количества рабочих мест.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Также планируется увеличение объемов производства и в легкой промышленности. С учетом принятия в состав Российской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Федерации Донецкой Народной Республики предприятия легкой промышленности Донбасса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начали активно участвовать в выставках, ярмарках, форумах по всей территории Российской Федерации с целью укрепления деловых связей, расширения рынка сбыта и, как следствие, увеличения заказов. Вместе с тем, рост производства произойдет и в результате участия предприятий Донецкой Народной Республики в государственных заказах.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продвижения промышленной продукции региона, налаживания деловых контактов, укрепления кооперационных связей промышленные предприятия региона в 2023 году приняли участие в 9 выставках, форумах, ярмарках, в том числе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XVIII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Всероссийском форуме-выставке «Госзаказ: новые вызовы», г.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Москва (35 предприятий),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ИННОПРОМ’23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», г.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Екатеринбург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(12 предприятий), выставке товаров легкой промышленности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Fasion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Style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Russia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», г. Москва, и прочих.</w:t>
      </w:r>
      <w:proofErr w:type="gramEnd"/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предприятия ДНР участвовали в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XIX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Всероссийском Форуме-выставке «ГОСЗАКАЗ» (г.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Москва), в 26 Международной выставке мебели, предметов интерьера, материалов, комплектующих и оборудования для деревообрабатывающего и мебельного производства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UMIDS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(г.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Краснодар),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IV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Художественно-промышленной выставке-форум «Уникальная Россия» (г.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Москва), международной выставке индустрии моды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МодаФест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(г.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Краснодар),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XXVII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Петербургском международном экономическом форуме (г.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Санкт-Петербург),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XIV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Международной промышленной выставке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ИННОПРОМ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(г. Екатеринбург).</w:t>
      </w:r>
      <w:proofErr w:type="gramEnd"/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Пищевая промышленность Донецкой Народной Республики производит широкий спектр продукции, в том числе хлеб и хлебобулочные изделия, муку, молоко и молочную продукцию, мясную и колбасную продукцию, кондитерские изделия.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Донецкая Народная Республика полностью обеспечена хлебом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 хлебобулочными изделиями собственного производства (основные производители: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ООО «Мир хлеба»,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МУП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АГЕ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Енакиевский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хлебозавод»,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ООО «Золотой колос», ООО «Советский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хлебокомбинат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»), а также пшеничной и ржаной мукой (ООО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Зерноальянс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», ООО «Ясиноватский агрокомбинат», ООО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Донспецторг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», Филиал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Еленовский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КХП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 ГК «Аграрный Донбасс»).</w:t>
      </w:r>
      <w:proofErr w:type="gramEnd"/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Важно отметить, что при расчете прогнозного показателя на 2024 год относительно производства пищевых продуктов применен коэффициент 0,95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фактически сложившейся ситуации в некоторых отраслях пищевой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и перерабатывающей промышленности Донецкой Народной Республики, 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а именно: по предварительным прогнозам, в 2024 году возможно снижение объемов производства по таким позициям как кондитерские изделия – ориентировочно на 20,2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%, масло подсолнечное – на 16,3</w:t>
      </w:r>
      <w:r w:rsidR="00700A32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%.</w:t>
      </w:r>
      <w:proofErr w:type="gramEnd"/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На вышеуказанное снижение, прежде всего, оказали влияние военные действия. Так, в январе 2024 года в результате обстрела со стороны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ВСУ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существенные повреждения получило предприятие кондитерской отрасл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ООО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«Оникс». Пострадало оборудование, автотранспорт, а также часть готовой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продукции. В июне 2024 года в результате обстрела повреждения получило одно из подразделений предприятия ООО «Донбасс Кондитер».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отметить, что обстрелы вызывают дополнительный отток сотрудников предприятий, что только усугубляет существующую проблему 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с недостатком кадров в регионе.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Указанные события не позволяют предприятиям в полной мере осуществлять производственный процесс и выполнять запланированные показатели производства продукции.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масла подсолнечного следует отметить, что в связи 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с тем, что основное маслоэкстракционное предприятие Донецкой Народной Республик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«МИКОМ-С» (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Каргилл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) находится вблизи зоны боевых действий, производственный процесс осуществляется неритмично.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январе 2024 года вследствие обстрела со стороны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ВСУ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ряд населенных пунктов, включая города Донецк и Макеевка, были обесточены 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7 дней, в результате чего предприятия пищевой 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и перерабатывающей промышленности находились в вынужденном простое. 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На некоторых предприятиях это привело к нарушению производственного цикла, что оказало существенное влияние на общий производственный процесс.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Относительно угледобывающей отрасли Донецкой Народной Республики следует отметить, что в соответствии с протокольным решением от 6 сентября 2023 года №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85пр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, принятым на заседании Рабочей группы по реализации специального инфраструктурного проекта, утверждена Программа развития топливно-энергетического комплекса, одним из разделов которой предусмотрено реформирование угледобывающей отрасли Донецкой Народной Республики, в том числе дальнейшее функционирование угольных предприятий в зависимости от их ранжирования и включения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соответствующую группу.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Рабочей группой по реализации специального инфраструктурного проекта были согласованы:</w:t>
      </w:r>
    </w:p>
    <w:p w:rsidR="00FA54E9" w:rsidRPr="00C3327C" w:rsidRDefault="002B21FB" w:rsidP="00942207">
      <w:pPr>
        <w:tabs>
          <w:tab w:val="left" w:pos="993"/>
        </w:tabs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заявк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ИМПЭКС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-ДОН» на аренду ГУП ДНР «Шахта Комсомолец Донбасса» и филиалов «Шахта «Прогресс», «Шахта «Заря», «Шахтоуправление им.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Л.И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Лутугина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 ГУП ДНР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Торезантрацит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FA54E9" w:rsidRPr="00C3327C" w:rsidRDefault="002B21FB" w:rsidP="00942207">
      <w:pPr>
        <w:tabs>
          <w:tab w:val="left" w:pos="993"/>
        </w:tabs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19.04.2024 между Министерством угля и энергетики Донецкой Народной Республик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 и ООО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ИМПЭКС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-ДОН» подписаны два договора аренды имущества организаций угольной промышленности, находящегося 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собственности Донецкой Народной Республики;</w:t>
      </w:r>
    </w:p>
    <w:p w:rsidR="00FA54E9" w:rsidRPr="00C3327C" w:rsidRDefault="002B21FB" w:rsidP="00942207">
      <w:pPr>
        <w:tabs>
          <w:tab w:val="left" w:pos="993"/>
        </w:tabs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заявк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«ГОК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Энергококс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 на аренду имущества филиала «Шахтоуправление «Волынское» ГУП ДНР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Торезантрацит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FA54E9" w:rsidRPr="00C3327C" w:rsidRDefault="002B21FB" w:rsidP="00942207">
      <w:pPr>
        <w:tabs>
          <w:tab w:val="left" w:pos="993"/>
        </w:tabs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05.06.2024 между Министерством угля и энергетики Донецкой Народной Республик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 и ООО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«ГОК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Энергококс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 подписан договор аренды имущества организаций угольной промышленности, находящегося в собственности Донецкой Народной Республики в отношении филиала «Шахтоуправление «Волынское»;</w:t>
      </w:r>
    </w:p>
    <w:p w:rsidR="00FA54E9" w:rsidRPr="00C3327C" w:rsidRDefault="002B21FB" w:rsidP="00942207">
      <w:pPr>
        <w:tabs>
          <w:tab w:val="left" w:pos="993"/>
        </w:tabs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заявк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«Специалист» на аренду имущества филиала «Шахта Шахтерская - Глубокая» и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ЦОФ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«Шахтерская» ГУП ДНР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Торезантрацит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A54E9" w:rsidRPr="00C3327C" w:rsidRDefault="002B21FB" w:rsidP="00942207">
      <w:pPr>
        <w:tabs>
          <w:tab w:val="left" w:pos="993"/>
        </w:tabs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30.07.2024 между Министерством угля и энергетики Донецкой Народной Республик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и и ООО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«Специалист» подписан договор аренды имущества организаций угольной промышленности, находящегося в собственности Донецкой Народной Республики в отношении филиала «Шахта Шахтерская - Глубокая» и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ЦОФ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«Шахтерская».</w:t>
      </w:r>
    </w:p>
    <w:p w:rsidR="00FA54E9" w:rsidRPr="00C3327C" w:rsidRDefault="002B21FB" w:rsidP="00942207">
      <w:pPr>
        <w:tabs>
          <w:tab w:val="left" w:pos="993"/>
        </w:tabs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заявк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а ООО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«Шахта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Ждановская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» на аренду имущества 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ПАО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«АП «Шахта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Ждановская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». На предприятиях ведутся работы 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по определению имущества, планируемого к передаче в аренду.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Программы развития топливно-энергетического комплекса неперспективные предприятия согласно принятому 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аспоряжению Правительства Донецкой Народной Республики от 3 мая 2024 года №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47-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Р1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«О закреплении имущества на праве хозяйственного ведения за ГУП ДНР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ГУРШ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»» в управление ГУП ДНР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ГУРШ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 переданы 11 шахт для обеспечения гидрологической безопасности, поддержания жизнедеятельности предприятия, проведения своевременных ремонтно-наладочных работ на водоотливных комплексах предприятий и стабильной безаварийной работы стационарного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и водоотливных комплексов шахт.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случае заинтересованности инвестора по аренде предприятий, переданных в ГУП ДНР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ГУРШ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», после прохождения процедуры согласования соответствующей заявки Рабочей группой по реализации специального инфраструктурного проекта возможно рассмотрение вопроса о передаче предприятия/предприятий в аренду.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Увеличение объемов добычи на 2024</w:t>
      </w:r>
      <w:r w:rsidR="00227BD7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2027 годы планируется за счет угледобывающих предприятий, переданных инвесторам.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Бизнес-проектами, предоставленными потенциальными инвесторами, предусматривается техническое перевооружение шахт с введением в эксплуатацию современных комплексов по проходке и добыче угля с маломощных высокопроизводительных пластов, что позволит создать дополнительные рабочие места, выйти предприятиям на рентабельный уровень работы, производить регулярные выплаты налогов и сборов в бюджет и в целом станет первым этапом в развитии угольной отрасли Донецкой Народной Республики.</w:t>
      </w:r>
      <w:proofErr w:type="gramEnd"/>
    </w:p>
    <w:p w:rsidR="00FA54E9" w:rsidRPr="00C3327C" w:rsidRDefault="002B21FB" w:rsidP="00942207">
      <w:pPr>
        <w:pStyle w:val="11"/>
        <w:spacing w:line="240" w:lineRule="auto"/>
        <w:ind w:firstLine="740"/>
        <w:jc w:val="both"/>
      </w:pPr>
      <w:r w:rsidRPr="00C3327C">
        <w:rPr>
          <w:color w:val="000000"/>
        </w:rPr>
        <w:t>К основным проблемным вопросам развития угольной отрасли следует отнести:</w:t>
      </w:r>
    </w:p>
    <w:p w:rsidR="00FA54E9" w:rsidRPr="00C3327C" w:rsidRDefault="002B21FB" w:rsidP="00942207">
      <w:pPr>
        <w:pStyle w:val="11"/>
        <w:tabs>
          <w:tab w:val="left" w:pos="1069"/>
        </w:tabs>
        <w:spacing w:line="240" w:lineRule="auto"/>
        <w:ind w:firstLine="709"/>
        <w:jc w:val="both"/>
      </w:pPr>
      <w:r w:rsidRPr="00C3327C">
        <w:rPr>
          <w:color w:val="000000"/>
        </w:rPr>
        <w:t>несоответствие требованиям нормативных документов Российской Федерации в сфере промышленной безопасности опасных производственных объектов и обеспечения безопасности гидротехнических сооружений, а именно – интеграция предприятий угольной отрасли ДНР в правовое поле Российской Федерации;</w:t>
      </w:r>
      <w:bookmarkStart w:id="3" w:name="bookmark4"/>
      <w:bookmarkEnd w:id="3"/>
    </w:p>
    <w:p w:rsidR="00FA54E9" w:rsidRPr="00C3327C" w:rsidRDefault="002B21FB" w:rsidP="00942207">
      <w:pPr>
        <w:pStyle w:val="11"/>
        <w:tabs>
          <w:tab w:val="left" w:pos="1069"/>
        </w:tabs>
        <w:spacing w:line="240" w:lineRule="auto"/>
        <w:ind w:firstLine="709"/>
        <w:jc w:val="both"/>
      </w:pPr>
      <w:r w:rsidRPr="00C3327C">
        <w:rPr>
          <w:color w:val="000000"/>
        </w:rPr>
        <w:t>субсидирование предприятий угольной отрасли по заработной плате;</w:t>
      </w:r>
      <w:bookmarkStart w:id="4" w:name="bookmark5"/>
      <w:bookmarkEnd w:id="4"/>
    </w:p>
    <w:p w:rsidR="00FA54E9" w:rsidRPr="00C3327C" w:rsidRDefault="002B21FB" w:rsidP="00942207">
      <w:pPr>
        <w:pStyle w:val="11"/>
        <w:tabs>
          <w:tab w:val="left" w:pos="1069"/>
        </w:tabs>
        <w:spacing w:line="240" w:lineRule="auto"/>
        <w:ind w:firstLine="709"/>
        <w:jc w:val="both"/>
      </w:pPr>
      <w:r w:rsidRPr="00C3327C">
        <w:rPr>
          <w:color w:val="000000"/>
        </w:rPr>
        <w:t>урегулирование взаимных задолженностей за отгруженную угольную продукцию и электроэнергию предприятий топливно-энергетического</w:t>
      </w:r>
      <w:r w:rsidR="00227BD7" w:rsidRPr="00C3327C">
        <w:rPr>
          <w:color w:val="000000"/>
        </w:rPr>
        <w:t xml:space="preserve"> </w:t>
      </w:r>
      <w:r w:rsidRPr="00C3327C">
        <w:rPr>
          <w:color w:val="000000"/>
        </w:rPr>
        <w:t xml:space="preserve">комплекса (необходимо проведение аудита задолженностей государственных предприятий угольной и энергетической отраслей по расчетам между собой </w:t>
      </w:r>
      <w:r w:rsidR="00227BD7" w:rsidRPr="00C3327C">
        <w:rPr>
          <w:color w:val="000000"/>
        </w:rPr>
        <w:br/>
      </w:r>
      <w:r w:rsidRPr="00C3327C">
        <w:rPr>
          <w:color w:val="000000"/>
        </w:rPr>
        <w:t xml:space="preserve">с целью подтверждения ее как безнадежной и определения необходимости </w:t>
      </w:r>
      <w:r w:rsidR="00227BD7" w:rsidRPr="00C3327C">
        <w:rPr>
          <w:color w:val="000000"/>
        </w:rPr>
        <w:br/>
      </w:r>
      <w:r w:rsidRPr="00C3327C">
        <w:rPr>
          <w:color w:val="000000"/>
        </w:rPr>
        <w:t>и путей ее списания);</w:t>
      </w:r>
      <w:bookmarkStart w:id="5" w:name="bookmark6"/>
      <w:bookmarkEnd w:id="5"/>
    </w:p>
    <w:p w:rsidR="00FA54E9" w:rsidRPr="00C3327C" w:rsidRDefault="002B21FB" w:rsidP="00942207">
      <w:pPr>
        <w:pStyle w:val="11"/>
        <w:tabs>
          <w:tab w:val="left" w:pos="1069"/>
        </w:tabs>
        <w:spacing w:line="240" w:lineRule="auto"/>
        <w:ind w:firstLine="709"/>
        <w:jc w:val="both"/>
      </w:pPr>
      <w:r w:rsidRPr="00C3327C">
        <w:rPr>
          <w:color w:val="000000"/>
        </w:rPr>
        <w:lastRenderedPageBreak/>
        <w:t>необходимость принятия нормативного правового акта, целью которого является выполнение социального обязательства, гарантированного государством на пенсионное обеспечение, предоставление возможности работникам предприятий угольной отрасли Донецкой Народной Республики своевременного назначения и перерасчета пенсии с включением периодов работы, за которые отсутствует уплата единого социального взноса;</w:t>
      </w:r>
      <w:bookmarkStart w:id="6" w:name="bookmark8"/>
      <w:bookmarkEnd w:id="6"/>
    </w:p>
    <w:p w:rsidR="00FA54E9" w:rsidRPr="00C3327C" w:rsidRDefault="002B21FB" w:rsidP="00942207">
      <w:pPr>
        <w:pStyle w:val="11"/>
        <w:tabs>
          <w:tab w:val="left" w:pos="1069"/>
        </w:tabs>
        <w:spacing w:line="240" w:lineRule="auto"/>
        <w:ind w:firstLine="709"/>
        <w:jc w:val="both"/>
      </w:pPr>
      <w:r w:rsidRPr="00C3327C">
        <w:rPr>
          <w:color w:val="000000"/>
        </w:rPr>
        <w:t xml:space="preserve">необходимость урегулирования вопроса по выплате задолженности </w:t>
      </w:r>
      <w:r w:rsidR="00227BD7" w:rsidRPr="00C3327C">
        <w:rPr>
          <w:color w:val="000000"/>
        </w:rPr>
        <w:br/>
      </w:r>
      <w:r w:rsidRPr="00C3327C">
        <w:rPr>
          <w:color w:val="000000"/>
        </w:rPr>
        <w:t>по заработной плате прошлых периодов (до образования Донецкой Народной Республики, период Донецкой Народной Республики до 30.09.2022).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 прогноза показателей потребления электроэнергии следует отметить, что формирование сводного прогнозного баланса производства </w:t>
      </w:r>
      <w:r w:rsidR="00E66951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и поставок электрической энергии (мощности) в рамках Единой энергетической системы России по субъектам Российской Федерации, вопросы осуществления подготовки, внесения изменений и формирование сводного прогнозного баланса в соответствии с </w:t>
      </w:r>
      <w:r w:rsidR="00E66951" w:rsidRPr="00C3327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риказом Федеральной антимонопольной службы </w:t>
      </w:r>
      <w:r w:rsidR="00E66951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от 18 апреля 2018 года №</w:t>
      </w:r>
      <w:r w:rsidR="00E66951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507/18 отнесены к компетенции центрального аппарата Федеральной антимонопольной службы.</w:t>
      </w:r>
      <w:proofErr w:type="gramEnd"/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Объекты генерации Донецкой Народной Республики, а именно: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Старобешевская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тепловая электрическая станция» (установленная мощность – 2</w:t>
      </w:r>
      <w:r w:rsidR="00E66951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010</w:t>
      </w:r>
      <w:r w:rsidR="00E66951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МВт), «Зуевская тепловая электрическая станция» (установленная мощность – 1</w:t>
      </w:r>
      <w:r w:rsidR="00E66951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270</w:t>
      </w:r>
      <w:r w:rsidR="00E66951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МВт), отнесены к федеральной собственности и по Договору безвозмездного пользования имуществом, составляющим имущество государственной казны Российской Федерации от 1 сентября 2023 года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="00E66951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ЕГ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-10/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15согл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, заключенному между Министерством энергетики Российской Федерации и АО «Инфраструктурные Проекты», права пользования </w:t>
      </w:r>
      <w:r w:rsidR="00E66951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 эксплуатации преданы АО «Инфраструктурные Проекты».</w:t>
      </w:r>
      <w:proofErr w:type="gramEnd"/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Филиалы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Мироновская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тепловая электрическая станция» и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Углегорская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тепловая электрическая станция» ГУП ДНР «Энергия Донбасса» </w:t>
      </w:r>
      <w:r w:rsidR="00E66951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не осуществляют производство электрической энергии.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Объекты магистральной сетевой инфраструктуры Донецкой Народной Республики по передаче электрической энергии магистральными</w:t>
      </w:r>
      <w:r w:rsidR="008246FF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электрическими сетями класса напряжения 220</w:t>
      </w:r>
      <w:r w:rsidR="008246FF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750</w:t>
      </w:r>
      <w:r w:rsidR="008246FF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, а именно: </w:t>
      </w:r>
      <w:r w:rsidR="008246FF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29 воздушных линий электропередачи 220</w:t>
      </w:r>
      <w:r w:rsidR="008246FF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750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протяженностью по цепям более 1</w:t>
      </w:r>
      <w:r w:rsidR="008246FF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239 км и 12 высоковольтных подстанций 220</w:t>
      </w:r>
      <w:r w:rsidR="008246FF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750</w:t>
      </w:r>
      <w:r w:rsidR="008246FF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суммарной мощностью</w:t>
      </w:r>
      <w:bookmarkStart w:id="7" w:name="bookmark10"/>
      <w:bookmarkEnd w:id="7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559,6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МВА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отнесены к федеральной собственности и по Договорам безвозмездного пользования имуществом, составляющим имущество государственной казны Российской Федерации, от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26 июля 2023 года </w:t>
      </w:r>
      <w:r w:rsidR="008246FF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246FF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ЕГ-6согл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и от 9 августа 2023 года №</w:t>
      </w:r>
      <w:r w:rsidR="008246FF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ЕГ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-7/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15согл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, заключенным между Министерством энергетики Российской Федерации и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ПАО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», права пользования и эксплуатации преданы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ПАО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Россети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ГУП ДНР «Региональная энергопоставляющая компания» осуществляет передачу электрической энергии местными (локальными) сетями класса напряжения 0,4/6(10)/35/110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кВ.</w:t>
      </w:r>
      <w:proofErr w:type="spellEnd"/>
    </w:p>
    <w:p w:rsidR="00FA54E9" w:rsidRPr="00C3327C" w:rsidRDefault="002B21FB" w:rsidP="00F666A5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Поставку (сбыт) электрической энергии потребителям Донецкой Народной Республики осуществляет «ООО «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Энергосбыт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Донецк» на основании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распоряжения Правительства Российской Федерации от 16.08.2023 № 2204-р.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Ключевым фактором роста в электроэнергетике Донецкой Народной Республики является реализация мероприятий, предусмотренных Федеральной и Региональной программами, и развитие электросетевой инфраструктуры города Мариуполь.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и Региональная программы включают </w:t>
      </w:r>
      <w:bookmarkStart w:id="8" w:name="bookmark12"/>
      <w:bookmarkEnd w:id="8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B11A2D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11A2D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источников генерации, </w:t>
      </w:r>
      <w:bookmarkStart w:id="9" w:name="bookmark13"/>
      <w:bookmarkEnd w:id="9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строительству и восстановлению магистральных электрических сетей, </w:t>
      </w:r>
      <w:bookmarkStart w:id="10" w:name="bookmark14"/>
      <w:bookmarkEnd w:id="10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восстановлению распределительных сетей, </w:t>
      </w:r>
      <w:bookmarkStart w:id="11" w:name="bookmark15"/>
      <w:bookmarkEnd w:id="11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по компенсации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межтарифной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разницы субъектов электроэнергетики, </w:t>
      </w:r>
      <w:bookmarkStart w:id="12" w:name="bookmark16"/>
      <w:bookmarkEnd w:id="12"/>
      <w:r w:rsidRPr="00C3327C">
        <w:rPr>
          <w:rFonts w:ascii="Times New Roman" w:hAnsi="Times New Roman" w:cs="Times New Roman"/>
          <w:color w:val="000000"/>
          <w:sz w:val="28"/>
          <w:szCs w:val="28"/>
        </w:rPr>
        <w:t>формированию аварийного резерва.</w:t>
      </w:r>
    </w:p>
    <w:p w:rsidR="00FA54E9" w:rsidRPr="00C3327C" w:rsidRDefault="002B21FB" w:rsidP="00942207">
      <w:pPr>
        <w:pStyle w:val="11"/>
        <w:spacing w:line="240" w:lineRule="auto"/>
        <w:ind w:firstLine="697"/>
        <w:jc w:val="both"/>
      </w:pPr>
      <w:proofErr w:type="gramStart"/>
      <w:r w:rsidRPr="00C3327C">
        <w:rPr>
          <w:color w:val="000000"/>
        </w:rPr>
        <w:t xml:space="preserve">В </w:t>
      </w:r>
      <w:r w:rsidRPr="00C3327C">
        <w:rPr>
          <w:rFonts w:eastAsiaTheme="minorHAnsi"/>
          <w:color w:val="000000"/>
        </w:rPr>
        <w:t xml:space="preserve">целях восстановления значительных разрушений инфраструктуры </w:t>
      </w:r>
      <w:r w:rsidR="00B11A2D" w:rsidRPr="00C3327C">
        <w:rPr>
          <w:rFonts w:eastAsiaTheme="minorHAnsi"/>
          <w:color w:val="000000"/>
        </w:rPr>
        <w:br/>
      </w:r>
      <w:r w:rsidRPr="00C3327C">
        <w:rPr>
          <w:rFonts w:eastAsiaTheme="minorHAnsi"/>
          <w:color w:val="000000"/>
        </w:rPr>
        <w:t xml:space="preserve">в ходе боевых действий и восстановления работоспособности электрооборудования </w:t>
      </w:r>
      <w:r w:rsidRPr="00C3327C">
        <w:rPr>
          <w:color w:val="000000"/>
        </w:rPr>
        <w:t>предусматриваются капитальные ремонты и техническое переоснащение энергетического оборудования Филиалов «</w:t>
      </w:r>
      <w:proofErr w:type="spellStart"/>
      <w:r w:rsidRPr="00C3327C">
        <w:rPr>
          <w:color w:val="000000"/>
        </w:rPr>
        <w:t>Старобешевская</w:t>
      </w:r>
      <w:proofErr w:type="spellEnd"/>
      <w:r w:rsidRPr="00C3327C">
        <w:rPr>
          <w:color w:val="000000"/>
        </w:rPr>
        <w:t xml:space="preserve"> тепловая электрическая станция» и «Зуевская тепловая электрическая станция» (будут осуществляться АО «Инфраструктурные проекты» за собственные средства), а также восстановление </w:t>
      </w:r>
      <w:proofErr w:type="spellStart"/>
      <w:r w:rsidRPr="00C3327C">
        <w:rPr>
          <w:color w:val="000000"/>
        </w:rPr>
        <w:t>ПС</w:t>
      </w:r>
      <w:proofErr w:type="spellEnd"/>
      <w:r w:rsidRPr="00C3327C">
        <w:rPr>
          <w:color w:val="000000"/>
        </w:rPr>
        <w:t>-220</w:t>
      </w:r>
      <w:r w:rsidR="00B11A2D" w:rsidRPr="00C3327C">
        <w:rPr>
          <w:color w:val="000000"/>
        </w:rPr>
        <w:t> </w:t>
      </w:r>
      <w:proofErr w:type="spellStart"/>
      <w:r w:rsidRPr="00C3327C">
        <w:rPr>
          <w:color w:val="000000"/>
        </w:rPr>
        <w:t>кВ</w:t>
      </w:r>
      <w:proofErr w:type="spellEnd"/>
      <w:r w:rsidRPr="00C3327C">
        <w:rPr>
          <w:color w:val="000000"/>
        </w:rPr>
        <w:t>, 330</w:t>
      </w:r>
      <w:r w:rsidR="00B11A2D" w:rsidRPr="00C3327C">
        <w:rPr>
          <w:color w:val="000000"/>
        </w:rPr>
        <w:t> </w:t>
      </w:r>
      <w:proofErr w:type="spellStart"/>
      <w:r w:rsidRPr="00C3327C">
        <w:rPr>
          <w:color w:val="000000"/>
        </w:rPr>
        <w:t>кВ</w:t>
      </w:r>
      <w:proofErr w:type="spellEnd"/>
      <w:r w:rsidRPr="00C3327C">
        <w:rPr>
          <w:color w:val="000000"/>
        </w:rPr>
        <w:t xml:space="preserve"> и </w:t>
      </w:r>
      <w:proofErr w:type="spellStart"/>
      <w:r w:rsidRPr="00C3327C">
        <w:rPr>
          <w:color w:val="000000"/>
        </w:rPr>
        <w:t>ВЛ</w:t>
      </w:r>
      <w:proofErr w:type="spellEnd"/>
      <w:r w:rsidRPr="00C3327C">
        <w:rPr>
          <w:color w:val="000000"/>
        </w:rPr>
        <w:t>-220</w:t>
      </w:r>
      <w:r w:rsidR="00B11A2D" w:rsidRPr="00C3327C">
        <w:rPr>
          <w:color w:val="000000"/>
        </w:rPr>
        <w:t> </w:t>
      </w:r>
      <w:proofErr w:type="spellStart"/>
      <w:r w:rsidRPr="00C3327C">
        <w:rPr>
          <w:color w:val="000000"/>
        </w:rPr>
        <w:t>кВ</w:t>
      </w:r>
      <w:proofErr w:type="spellEnd"/>
      <w:r w:rsidRPr="00C3327C">
        <w:rPr>
          <w:color w:val="000000"/>
        </w:rPr>
        <w:t>, 330</w:t>
      </w:r>
      <w:r w:rsidR="00B11A2D" w:rsidRPr="00C3327C">
        <w:rPr>
          <w:color w:val="000000"/>
        </w:rPr>
        <w:t> </w:t>
      </w:r>
      <w:proofErr w:type="spellStart"/>
      <w:r w:rsidRPr="00C3327C">
        <w:rPr>
          <w:color w:val="000000"/>
        </w:rPr>
        <w:t>кВ</w:t>
      </w:r>
      <w:proofErr w:type="spellEnd"/>
      <w:r w:rsidRPr="00C3327C">
        <w:rPr>
          <w:color w:val="000000"/>
        </w:rPr>
        <w:t xml:space="preserve"> (будет осуществляться </w:t>
      </w:r>
      <w:proofErr w:type="spellStart"/>
      <w:r w:rsidRPr="00C3327C">
        <w:rPr>
          <w:color w:val="000000"/>
        </w:rPr>
        <w:t>ПАО</w:t>
      </w:r>
      <w:proofErr w:type="spellEnd"/>
      <w:r w:rsidRPr="00C3327C">
        <w:rPr>
          <w:color w:val="000000"/>
        </w:rPr>
        <w:t xml:space="preserve"> «</w:t>
      </w:r>
      <w:proofErr w:type="spellStart"/>
      <w:r w:rsidRPr="00C3327C">
        <w:rPr>
          <w:color w:val="000000"/>
        </w:rPr>
        <w:t>Россети</w:t>
      </w:r>
      <w:proofErr w:type="spellEnd"/>
      <w:r w:rsidRPr="00C3327C">
        <w:rPr>
          <w:color w:val="000000"/>
        </w:rPr>
        <w:t>» за собственные средства).</w:t>
      </w:r>
      <w:proofErr w:type="gramEnd"/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 xml:space="preserve">Реализация вышеуказанных мероприятий позволит решить задачу </w:t>
      </w:r>
      <w:proofErr w:type="gramStart"/>
      <w:r w:rsidRPr="00C3327C">
        <w:rPr>
          <w:color w:val="000000"/>
        </w:rPr>
        <w:t>повышения надежности электроснабжения крупных промышленных предприятий Донецкой Народной Республики</w:t>
      </w:r>
      <w:proofErr w:type="gramEnd"/>
      <w:r w:rsidRPr="00C3327C">
        <w:rPr>
          <w:color w:val="000000"/>
        </w:rPr>
        <w:t xml:space="preserve"> и всех категорий потребителей </w:t>
      </w:r>
      <w:r w:rsidR="00E7130C" w:rsidRPr="00C3327C">
        <w:rPr>
          <w:color w:val="000000"/>
        </w:rPr>
        <w:br/>
      </w:r>
      <w:r w:rsidRPr="00C3327C">
        <w:rPr>
          <w:color w:val="000000"/>
        </w:rPr>
        <w:t>в целом, обеспечив восстановление системообразующих магистральных объектов.</w:t>
      </w:r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 xml:space="preserve">В 2024 году выполнены следующие мероприятия, направленные </w:t>
      </w:r>
      <w:r w:rsidR="00D76DF6" w:rsidRPr="00C3327C">
        <w:rPr>
          <w:color w:val="000000"/>
        </w:rPr>
        <w:br/>
      </w:r>
      <w:r w:rsidRPr="00C3327C">
        <w:rPr>
          <w:color w:val="000000"/>
        </w:rPr>
        <w:t>на восстановление распределительных сетей региона:</w:t>
      </w:r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>осуществлена поставка 8 единиц специализированной техники;</w:t>
      </w:r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bookmarkStart w:id="13" w:name="bookmark21"/>
      <w:bookmarkEnd w:id="13"/>
      <w:r w:rsidRPr="00C3327C">
        <w:rPr>
          <w:color w:val="000000"/>
        </w:rPr>
        <w:t>завершены капитальные ремонты по 23 объектам распределительных сетей</w:t>
      </w:r>
      <w:bookmarkStart w:id="14" w:name="bookmark22"/>
      <w:bookmarkEnd w:id="14"/>
      <w:r w:rsidRPr="00C3327C">
        <w:rPr>
          <w:color w:val="000000"/>
        </w:rPr>
        <w:t xml:space="preserve">, к </w:t>
      </w:r>
      <w:bookmarkStart w:id="15" w:name="bookmark23"/>
      <w:bookmarkEnd w:id="15"/>
      <w:r w:rsidRPr="00C3327C">
        <w:rPr>
          <w:color w:val="000000"/>
        </w:rPr>
        <w:t>одному из планируемых объектов отсутствует допуск для завершения выполнения работ.</w:t>
      </w:r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 xml:space="preserve">В рамках выполнения мероприятий по восстановлению распределительных сетей Донецкой Народной Республики в 2024 году запланировано выполнить 11 капитальных ремонтов объектов электроэнергетики ГУП ДНР «Региональная энергопоставляющая компания» – 5 </w:t>
      </w:r>
      <w:proofErr w:type="spellStart"/>
      <w:r w:rsidRPr="00C3327C">
        <w:rPr>
          <w:color w:val="000000"/>
        </w:rPr>
        <w:t>ВЛ</w:t>
      </w:r>
      <w:proofErr w:type="spellEnd"/>
      <w:r w:rsidRPr="00C3327C">
        <w:rPr>
          <w:color w:val="000000"/>
        </w:rPr>
        <w:t xml:space="preserve">-110 </w:t>
      </w:r>
      <w:proofErr w:type="spellStart"/>
      <w:r w:rsidRPr="00C3327C">
        <w:rPr>
          <w:color w:val="000000"/>
        </w:rPr>
        <w:t>кВ</w:t>
      </w:r>
      <w:proofErr w:type="spellEnd"/>
      <w:r w:rsidRPr="00C3327C">
        <w:rPr>
          <w:color w:val="000000"/>
        </w:rPr>
        <w:t xml:space="preserve">, 4 </w:t>
      </w:r>
      <w:proofErr w:type="spellStart"/>
      <w:r w:rsidRPr="00C3327C">
        <w:rPr>
          <w:color w:val="000000"/>
        </w:rPr>
        <w:t>ВЛ</w:t>
      </w:r>
      <w:proofErr w:type="spellEnd"/>
      <w:r w:rsidRPr="00C3327C">
        <w:rPr>
          <w:color w:val="000000"/>
        </w:rPr>
        <w:t xml:space="preserve">-35 </w:t>
      </w:r>
      <w:proofErr w:type="spellStart"/>
      <w:r w:rsidRPr="00C3327C">
        <w:rPr>
          <w:color w:val="000000"/>
        </w:rPr>
        <w:t>кВ</w:t>
      </w:r>
      <w:proofErr w:type="spellEnd"/>
      <w:r w:rsidRPr="00C3327C">
        <w:rPr>
          <w:color w:val="000000"/>
        </w:rPr>
        <w:t xml:space="preserve">, 2 </w:t>
      </w:r>
      <w:proofErr w:type="spellStart"/>
      <w:r w:rsidRPr="00C3327C">
        <w:rPr>
          <w:color w:val="000000"/>
        </w:rPr>
        <w:t>ПС</w:t>
      </w:r>
      <w:proofErr w:type="spellEnd"/>
      <w:r w:rsidRPr="00C3327C">
        <w:rPr>
          <w:color w:val="000000"/>
        </w:rPr>
        <w:t xml:space="preserve">-110 </w:t>
      </w:r>
      <w:proofErr w:type="spellStart"/>
      <w:r w:rsidRPr="00C3327C">
        <w:rPr>
          <w:color w:val="000000"/>
        </w:rPr>
        <w:t>кВ.</w:t>
      </w:r>
      <w:proofErr w:type="spellEnd"/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proofErr w:type="gramStart"/>
      <w:r w:rsidRPr="00C3327C">
        <w:rPr>
          <w:color w:val="000000"/>
        </w:rPr>
        <w:t xml:space="preserve">Выполнение капитальных ремонтов объектов электроэнергетики позволит повысить энергетическую безопасность Донецкой Народной Республики и надежность Энергетической системы Донецкой Народной Республики, а также обеспечит бесперебойное и надежное электроснабжение потребителей ряда населенных пунктов Донецкой Народной Республики (городов Горловка, Енакиево, Харцызск, Макеевка, Дебальцево, Еленовка, </w:t>
      </w:r>
      <w:r w:rsidR="00D76DF6" w:rsidRPr="00C3327C">
        <w:rPr>
          <w:color w:val="000000"/>
        </w:rPr>
        <w:br/>
      </w:r>
      <w:r w:rsidRPr="00C3327C">
        <w:rPr>
          <w:color w:val="000000"/>
        </w:rPr>
        <w:t>пгт</w:t>
      </w:r>
      <w:r w:rsidR="00D76DF6" w:rsidRPr="00C3327C">
        <w:rPr>
          <w:color w:val="000000"/>
        </w:rPr>
        <w:t>.</w:t>
      </w:r>
      <w:proofErr w:type="gramEnd"/>
      <w:r w:rsidRPr="00C3327C">
        <w:rPr>
          <w:color w:val="000000"/>
        </w:rPr>
        <w:t xml:space="preserve"> </w:t>
      </w:r>
      <w:proofErr w:type="spellStart"/>
      <w:proofErr w:type="gramStart"/>
      <w:r w:rsidRPr="00C3327C">
        <w:rPr>
          <w:color w:val="000000"/>
        </w:rPr>
        <w:t>Мироновский</w:t>
      </w:r>
      <w:proofErr w:type="spellEnd"/>
      <w:r w:rsidRPr="00C3327C">
        <w:rPr>
          <w:color w:val="000000"/>
        </w:rPr>
        <w:t>).</w:t>
      </w:r>
      <w:proofErr w:type="gramEnd"/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 xml:space="preserve">В рамках реализации мероприятий по формированию аварийного запаса, утвержденных </w:t>
      </w:r>
      <w:r w:rsidR="00D76DF6" w:rsidRPr="00C3327C">
        <w:rPr>
          <w:color w:val="000000"/>
        </w:rPr>
        <w:t>р</w:t>
      </w:r>
      <w:r w:rsidRPr="00C3327C">
        <w:rPr>
          <w:color w:val="000000"/>
        </w:rPr>
        <w:t>аспоряжением Правительства Донецкой Народной Республики</w:t>
      </w:r>
    </w:p>
    <w:p w:rsidR="00FA54E9" w:rsidRPr="00C3327C" w:rsidRDefault="002B21FB" w:rsidP="00942207">
      <w:pPr>
        <w:pStyle w:val="11"/>
        <w:spacing w:line="240" w:lineRule="auto"/>
        <w:ind w:firstLine="0"/>
        <w:jc w:val="both"/>
      </w:pPr>
      <w:r w:rsidRPr="00C3327C">
        <w:rPr>
          <w:color w:val="000000"/>
        </w:rPr>
        <w:t>от 22 декабря 2023 г</w:t>
      </w:r>
      <w:r w:rsidR="00D76DF6" w:rsidRPr="00C3327C">
        <w:rPr>
          <w:color w:val="000000"/>
        </w:rPr>
        <w:t>.</w:t>
      </w:r>
      <w:r w:rsidRPr="00C3327C">
        <w:rPr>
          <w:color w:val="000000"/>
        </w:rPr>
        <w:t xml:space="preserve"> №</w:t>
      </w:r>
      <w:r w:rsidR="00D76DF6" w:rsidRPr="00C3327C">
        <w:rPr>
          <w:color w:val="000000"/>
        </w:rPr>
        <w:t> </w:t>
      </w:r>
      <w:r w:rsidRPr="00C3327C">
        <w:rPr>
          <w:color w:val="000000"/>
        </w:rPr>
        <w:t>112-</w:t>
      </w:r>
      <w:proofErr w:type="spellStart"/>
      <w:r w:rsidRPr="00C3327C">
        <w:rPr>
          <w:color w:val="000000"/>
        </w:rPr>
        <w:t>Р8</w:t>
      </w:r>
      <w:proofErr w:type="spellEnd"/>
      <w:r w:rsidRPr="00C3327C">
        <w:rPr>
          <w:color w:val="000000"/>
        </w:rPr>
        <w:t xml:space="preserve">, планируется осуществить закупку и поставку 572 позиций оборудования, материалов, кабельной продукции, необходимых </w:t>
      </w:r>
      <w:r w:rsidRPr="00C3327C">
        <w:rPr>
          <w:color w:val="000000"/>
        </w:rPr>
        <w:lastRenderedPageBreak/>
        <w:t>для формирования аварийного резерва, на общую сумму 4 384,3 млн</w:t>
      </w:r>
      <w:r w:rsidR="00D76DF6" w:rsidRPr="00C3327C">
        <w:rPr>
          <w:color w:val="000000"/>
        </w:rPr>
        <w:t>.</w:t>
      </w:r>
      <w:r w:rsidRPr="00C3327C">
        <w:rPr>
          <w:color w:val="000000"/>
        </w:rPr>
        <w:t xml:space="preserve"> руб.</w:t>
      </w:r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>Наличие необходимого аварийного запаса позволит предотвратить длительные перерывы электроснабжения потребителей и обеспечить оперативное проведение ремонтных и аварийно-восстановительных работ.</w:t>
      </w:r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 xml:space="preserve">В соответствии с письмом Министерства энергетики Российской Федерации от 27 мая 2024 года № </w:t>
      </w:r>
      <w:proofErr w:type="spellStart"/>
      <w:r w:rsidRPr="00C3327C">
        <w:rPr>
          <w:color w:val="000000"/>
        </w:rPr>
        <w:t>ЕГ</w:t>
      </w:r>
      <w:proofErr w:type="spellEnd"/>
      <w:r w:rsidRPr="00C3327C">
        <w:rPr>
          <w:color w:val="000000"/>
        </w:rPr>
        <w:t xml:space="preserve">-8267/15 Рабочей группой по реализации специального инфраструктурного проекта принято решение о выделении </w:t>
      </w:r>
      <w:r w:rsidR="00D76DF6" w:rsidRPr="00C3327C">
        <w:rPr>
          <w:color w:val="000000"/>
        </w:rPr>
        <w:br/>
      </w:r>
      <w:r w:rsidRPr="00C3327C">
        <w:rPr>
          <w:color w:val="000000"/>
        </w:rPr>
        <w:t>в 2024 году дополнительных средств на реализацию следующих мероприятий:</w:t>
      </w:r>
      <w:bookmarkStart w:id="16" w:name="bookmark24"/>
      <w:bookmarkEnd w:id="16"/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 xml:space="preserve">по восстановлению распределительных сетей для выполнения капитального ремонта </w:t>
      </w:r>
      <w:proofErr w:type="spellStart"/>
      <w:r w:rsidRPr="00C3327C">
        <w:rPr>
          <w:color w:val="000000"/>
        </w:rPr>
        <w:t>ПС</w:t>
      </w:r>
      <w:proofErr w:type="spellEnd"/>
      <w:r w:rsidRPr="00C3327C">
        <w:rPr>
          <w:color w:val="000000"/>
        </w:rPr>
        <w:t>-110</w:t>
      </w:r>
      <w:r w:rsidR="00D76DF6" w:rsidRPr="00C3327C">
        <w:rPr>
          <w:color w:val="000000"/>
        </w:rPr>
        <w:t> </w:t>
      </w:r>
      <w:proofErr w:type="spellStart"/>
      <w:r w:rsidRPr="00C3327C">
        <w:rPr>
          <w:color w:val="000000"/>
        </w:rPr>
        <w:t>кВ</w:t>
      </w:r>
      <w:proofErr w:type="spellEnd"/>
      <w:r w:rsidRPr="00C3327C">
        <w:rPr>
          <w:color w:val="000000"/>
        </w:rPr>
        <w:t xml:space="preserve"> Ясиноватая и приобретению 33 единиц специализированной техники;</w:t>
      </w:r>
      <w:bookmarkStart w:id="17" w:name="bookmark25"/>
      <w:bookmarkEnd w:id="17"/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 xml:space="preserve">по формированию аварийного резерва для приобретения 28 единиц трансформаторов 35 </w:t>
      </w:r>
      <w:proofErr w:type="spellStart"/>
      <w:r w:rsidRPr="00C3327C">
        <w:rPr>
          <w:color w:val="000000"/>
        </w:rPr>
        <w:t>кВ</w:t>
      </w:r>
      <w:proofErr w:type="spellEnd"/>
      <w:r w:rsidRPr="00C3327C">
        <w:rPr>
          <w:color w:val="000000"/>
        </w:rPr>
        <w:t xml:space="preserve"> и 110 </w:t>
      </w:r>
      <w:proofErr w:type="spellStart"/>
      <w:r w:rsidRPr="00C3327C">
        <w:rPr>
          <w:color w:val="000000"/>
        </w:rPr>
        <w:t>кВ</w:t>
      </w:r>
      <w:proofErr w:type="spellEnd"/>
      <w:r w:rsidRPr="00C3327C">
        <w:rPr>
          <w:color w:val="000000"/>
        </w:rPr>
        <w:t>;</w:t>
      </w:r>
      <w:bookmarkStart w:id="18" w:name="bookmark26"/>
      <w:bookmarkEnd w:id="18"/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>по строительству, реконструкции и восстановлению объектов электроэнергетики в г.</w:t>
      </w:r>
      <w:r w:rsidR="00D76DF6" w:rsidRPr="00C3327C">
        <w:rPr>
          <w:color w:val="000000"/>
        </w:rPr>
        <w:t> </w:t>
      </w:r>
      <w:r w:rsidRPr="00C3327C">
        <w:rPr>
          <w:color w:val="000000"/>
        </w:rPr>
        <w:t xml:space="preserve">Мариуполь для реконструкции и восстановления </w:t>
      </w:r>
      <w:r w:rsidRPr="00C3327C">
        <w:rPr>
          <w:color w:val="000000"/>
        </w:rPr>
        <w:br/>
        <w:t>7 объектов электросетевого комплекса г. Мариуполь до 2025 года;</w:t>
      </w:r>
      <w:bookmarkStart w:id="19" w:name="bookmark27"/>
      <w:bookmarkEnd w:id="19"/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 xml:space="preserve">по ликвидации аварий и повреждений на региональных распределительных сетях, произошедших в связи с прохождением опасных метеорологических явлений для возмещения затрат, понесенных </w:t>
      </w:r>
      <w:r w:rsidRPr="00C3327C">
        <w:rPr>
          <w:color w:val="000000"/>
        </w:rPr>
        <w:br/>
        <w:t>ГУП ДНР «Региональная энергопоставляющая компания» при восстановлении 272 объекта электросетевого комплекса, поврежденных вследствие прохождения неблагоприятных погодных условий.</w:t>
      </w:r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>К основным проблемным вопросам в сфере электроэнергетики следует отнести:</w:t>
      </w:r>
    </w:p>
    <w:p w:rsidR="00FA54E9" w:rsidRPr="00C3327C" w:rsidRDefault="002B21FB" w:rsidP="00942207">
      <w:pPr>
        <w:pStyle w:val="11"/>
        <w:tabs>
          <w:tab w:val="left" w:pos="1098"/>
        </w:tabs>
        <w:spacing w:line="240" w:lineRule="auto"/>
        <w:ind w:firstLine="709"/>
        <w:jc w:val="both"/>
      </w:pPr>
      <w:bookmarkStart w:id="20" w:name="bookmark28"/>
      <w:bookmarkEnd w:id="20"/>
      <w:r w:rsidRPr="00C3327C">
        <w:rPr>
          <w:color w:val="000000"/>
        </w:rPr>
        <w:t>регулярное полное разрушение или повреждение энергетического оборудования (многочисленные повреждения опор, провода, грозозащитный трос) в результате боевых действий на территории Республики;</w:t>
      </w:r>
    </w:p>
    <w:p w:rsidR="00FA54E9" w:rsidRPr="00C3327C" w:rsidRDefault="002B21FB" w:rsidP="00942207">
      <w:pPr>
        <w:pStyle w:val="11"/>
        <w:tabs>
          <w:tab w:val="left" w:pos="1102"/>
        </w:tabs>
        <w:spacing w:line="240" w:lineRule="auto"/>
        <w:ind w:firstLine="709"/>
        <w:jc w:val="both"/>
      </w:pPr>
      <w:bookmarkStart w:id="21" w:name="bookmark29"/>
      <w:bookmarkEnd w:id="21"/>
      <w:r w:rsidRPr="00C3327C">
        <w:rPr>
          <w:color w:val="000000"/>
        </w:rPr>
        <w:t>необходимость обновления и увеличения парка специальной техники предприятий в сфере электроэнергетики, в том числе в связи с освобождением новых территорий Донецкой Народной Республики;</w:t>
      </w:r>
    </w:p>
    <w:p w:rsidR="00FA54E9" w:rsidRPr="00C3327C" w:rsidRDefault="002B21FB" w:rsidP="00942207">
      <w:pPr>
        <w:pStyle w:val="11"/>
        <w:tabs>
          <w:tab w:val="left" w:pos="1102"/>
        </w:tabs>
        <w:spacing w:line="240" w:lineRule="auto"/>
        <w:ind w:firstLine="709"/>
        <w:jc w:val="both"/>
      </w:pPr>
      <w:bookmarkStart w:id="22" w:name="bookmark31"/>
      <w:bookmarkEnd w:id="22"/>
      <w:r w:rsidRPr="00C3327C">
        <w:rPr>
          <w:color w:val="000000"/>
        </w:rPr>
        <w:t>низкий уровень сборов за отпущенную электроэнергию;</w:t>
      </w:r>
    </w:p>
    <w:p w:rsidR="00FA54E9" w:rsidRPr="00C3327C" w:rsidRDefault="002B21FB" w:rsidP="00942207">
      <w:pPr>
        <w:pStyle w:val="11"/>
        <w:tabs>
          <w:tab w:val="left" w:pos="1102"/>
        </w:tabs>
        <w:spacing w:line="240" w:lineRule="auto"/>
        <w:ind w:firstLine="709"/>
        <w:jc w:val="both"/>
      </w:pPr>
      <w:bookmarkStart w:id="23" w:name="bookmark32"/>
      <w:bookmarkEnd w:id="23"/>
      <w:r w:rsidRPr="00C3327C">
        <w:rPr>
          <w:color w:val="000000"/>
        </w:rPr>
        <w:t>отток квалифицированных кадров;</w:t>
      </w:r>
    </w:p>
    <w:p w:rsidR="00FA54E9" w:rsidRPr="00C3327C" w:rsidRDefault="002B21FB" w:rsidP="00942207">
      <w:pPr>
        <w:pStyle w:val="11"/>
        <w:tabs>
          <w:tab w:val="left" w:pos="1098"/>
        </w:tabs>
        <w:spacing w:line="240" w:lineRule="auto"/>
        <w:ind w:firstLine="709"/>
        <w:jc w:val="both"/>
      </w:pPr>
      <w:bookmarkStart w:id="24" w:name="bookmark33"/>
      <w:bookmarkEnd w:id="24"/>
      <w:r w:rsidRPr="00C3327C">
        <w:rPr>
          <w:color w:val="000000"/>
        </w:rPr>
        <w:t>несбалансированность тарифных решений, необходимость компенсации выпадающих доходов генерирующих и сетевых организаций Донецкой Народной Республики.</w:t>
      </w:r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>Относительно газовой отрасли для участия в программе газификации Российской Федерации в Донецкой Народной Республике должен быть определен региональный оператор газификации (согласно статье</w:t>
      </w:r>
      <w:r w:rsidR="00D76DF6" w:rsidRPr="00C3327C">
        <w:rPr>
          <w:color w:val="000000"/>
        </w:rPr>
        <w:t>  </w:t>
      </w:r>
      <w:r w:rsidRPr="00C3327C">
        <w:rPr>
          <w:color w:val="000000"/>
        </w:rPr>
        <w:t>17 Федерального закона от 31 марта 1999 года №</w:t>
      </w:r>
      <w:r w:rsidR="00D76DF6" w:rsidRPr="00C3327C">
        <w:rPr>
          <w:color w:val="000000"/>
        </w:rPr>
        <w:t> </w:t>
      </w:r>
      <w:r w:rsidRPr="00C3327C">
        <w:rPr>
          <w:color w:val="000000"/>
        </w:rPr>
        <w:t xml:space="preserve">69-ФЗ «О газоснабжении </w:t>
      </w:r>
      <w:r w:rsidR="00D76DF6" w:rsidRPr="00C3327C">
        <w:rPr>
          <w:color w:val="000000"/>
        </w:rPr>
        <w:br/>
      </w:r>
      <w:r w:rsidRPr="00C3327C">
        <w:rPr>
          <w:color w:val="000000"/>
        </w:rPr>
        <w:t>в Российской Федерации»). Распоряжением Главы Донецкой Народной Республики от 17 июня 2024 года №</w:t>
      </w:r>
      <w:r w:rsidR="007E48F2" w:rsidRPr="00C3327C">
        <w:rPr>
          <w:color w:val="000000"/>
        </w:rPr>
        <w:t> </w:t>
      </w:r>
      <w:r w:rsidRPr="00C3327C">
        <w:rPr>
          <w:color w:val="000000"/>
        </w:rPr>
        <w:t>275 ООО «</w:t>
      </w:r>
      <w:proofErr w:type="spellStart"/>
      <w:r w:rsidRPr="00C3327C">
        <w:rPr>
          <w:color w:val="000000"/>
        </w:rPr>
        <w:t>Черноморнефтегаз</w:t>
      </w:r>
      <w:proofErr w:type="spellEnd"/>
      <w:r w:rsidRPr="00C3327C">
        <w:rPr>
          <w:color w:val="000000"/>
        </w:rPr>
        <w:t xml:space="preserve">» определено региональным оператором газификации и поставщиком природного газа </w:t>
      </w:r>
      <w:r w:rsidR="007E48F2" w:rsidRPr="00C3327C">
        <w:rPr>
          <w:color w:val="000000"/>
        </w:rPr>
        <w:br/>
      </w:r>
      <w:r w:rsidRPr="00C3327C">
        <w:rPr>
          <w:color w:val="000000"/>
        </w:rPr>
        <w:t>на территории Донецкой Народной Республики.</w:t>
      </w:r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r w:rsidRPr="00C3327C">
        <w:rPr>
          <w:color w:val="000000"/>
        </w:rPr>
        <w:t xml:space="preserve">Таким образом, в настоящее время необходимо с участием указанного регионального оператора газификации разработать топливно-энергетический </w:t>
      </w:r>
      <w:r w:rsidRPr="00C3327C">
        <w:rPr>
          <w:color w:val="000000"/>
        </w:rPr>
        <w:lastRenderedPageBreak/>
        <w:t>баланс Донецкой Народной Республики, схему газоснабжения Донецкой Народной Республики, программу газификации Донецкой Народной Республики. При этом</w:t>
      </w:r>
      <w:proofErr w:type="gramStart"/>
      <w:r w:rsidRPr="00C3327C">
        <w:rPr>
          <w:color w:val="000000"/>
        </w:rPr>
        <w:t>,</w:t>
      </w:r>
      <w:proofErr w:type="gramEnd"/>
      <w:r w:rsidRPr="00C3327C">
        <w:rPr>
          <w:color w:val="000000"/>
        </w:rPr>
        <w:t xml:space="preserve"> в соответствии с поручениями Президента Российской Федерации в программу газификации должны быть включены мероприятия </w:t>
      </w:r>
      <w:r w:rsidR="007E48F2" w:rsidRPr="00C3327C">
        <w:rPr>
          <w:color w:val="000000"/>
        </w:rPr>
        <w:br/>
      </w:r>
      <w:r w:rsidRPr="00C3327C">
        <w:rPr>
          <w:color w:val="000000"/>
        </w:rPr>
        <w:t xml:space="preserve">по мерам социальной газификации, в том числе на приобретение за счет бюджета газового внутридомового оборудования, а также газификация домовладений в садовых некоммерческих товариществах, находящихся </w:t>
      </w:r>
      <w:r w:rsidR="007E48F2" w:rsidRPr="00C3327C">
        <w:rPr>
          <w:color w:val="000000"/>
        </w:rPr>
        <w:br/>
      </w:r>
      <w:r w:rsidRPr="00C3327C">
        <w:rPr>
          <w:color w:val="000000"/>
        </w:rPr>
        <w:t>в газифицированных населенных пунктах.</w:t>
      </w:r>
    </w:p>
    <w:p w:rsidR="00FA54E9" w:rsidRPr="00C3327C" w:rsidRDefault="002B21FB" w:rsidP="00942207">
      <w:pPr>
        <w:pStyle w:val="11"/>
        <w:spacing w:line="240" w:lineRule="auto"/>
        <w:ind w:firstLine="720"/>
        <w:jc w:val="both"/>
      </w:pPr>
      <w:proofErr w:type="gramStart"/>
      <w:r w:rsidRPr="00C3327C">
        <w:rPr>
          <w:color w:val="000000"/>
        </w:rPr>
        <w:t xml:space="preserve">В настоящее время Министерством угля и энергетики Донецкой Народной Республики совместно с ГК «Донбассгаз» разработан проект «Региональной программы газификации жилищно-коммунального хозяйства, промышленных и иных организаций Донецкой Народной Республики </w:t>
      </w:r>
      <w:r w:rsidR="0073682C" w:rsidRPr="00C3327C">
        <w:rPr>
          <w:color w:val="000000"/>
        </w:rPr>
        <w:br/>
      </w:r>
      <w:r w:rsidRPr="00C3327C">
        <w:rPr>
          <w:color w:val="000000"/>
        </w:rPr>
        <w:t>на 2024</w:t>
      </w:r>
      <w:r w:rsidR="0073682C" w:rsidRPr="00C3327C">
        <w:rPr>
          <w:color w:val="000000"/>
        </w:rPr>
        <w:t>-</w:t>
      </w:r>
      <w:r w:rsidRPr="00C3327C">
        <w:rPr>
          <w:color w:val="000000"/>
        </w:rPr>
        <w:t>2033 годы», которым предусмотрен рост уровня газификации с 63,5</w:t>
      </w:r>
      <w:r w:rsidR="0073682C" w:rsidRPr="00C3327C">
        <w:rPr>
          <w:color w:val="000000"/>
        </w:rPr>
        <w:t> </w:t>
      </w:r>
      <w:r w:rsidRPr="00C3327C">
        <w:rPr>
          <w:color w:val="000000"/>
        </w:rPr>
        <w:t>% в 2024 году до 68</w:t>
      </w:r>
      <w:r w:rsidR="0073682C" w:rsidRPr="00C3327C">
        <w:rPr>
          <w:color w:val="000000"/>
        </w:rPr>
        <w:t> </w:t>
      </w:r>
      <w:r w:rsidRPr="00C3327C">
        <w:rPr>
          <w:color w:val="000000"/>
        </w:rPr>
        <w:t>% в 2033 году, а также рост уровня сборов за потребленный газ с 66</w:t>
      </w:r>
      <w:r w:rsidR="0073682C" w:rsidRPr="00C3327C">
        <w:rPr>
          <w:color w:val="000000"/>
        </w:rPr>
        <w:t> </w:t>
      </w:r>
      <w:r w:rsidRPr="00C3327C">
        <w:rPr>
          <w:color w:val="000000"/>
        </w:rPr>
        <w:t>% в 2022 году до</w:t>
      </w:r>
      <w:proofErr w:type="gramEnd"/>
      <w:r w:rsidRPr="00C3327C">
        <w:rPr>
          <w:color w:val="000000"/>
        </w:rPr>
        <w:t xml:space="preserve"> 97</w:t>
      </w:r>
      <w:r w:rsidR="0073682C" w:rsidRPr="00C3327C">
        <w:rPr>
          <w:color w:val="000000"/>
        </w:rPr>
        <w:t> </w:t>
      </w:r>
      <w:r w:rsidRPr="00C3327C">
        <w:rPr>
          <w:color w:val="000000"/>
        </w:rPr>
        <w:t>% в 2033 году.</w:t>
      </w:r>
    </w:p>
    <w:p w:rsidR="00FA54E9" w:rsidRPr="00C3327C" w:rsidRDefault="00FA54E9" w:rsidP="00942207">
      <w:pPr>
        <w:pStyle w:val="11"/>
        <w:spacing w:line="240" w:lineRule="auto"/>
        <w:ind w:firstLine="709"/>
        <w:jc w:val="both"/>
      </w:pP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Сельское хозяйство</w:t>
      </w:r>
    </w:p>
    <w:p w:rsidR="00FA54E9" w:rsidRPr="00C3327C" w:rsidRDefault="00FA54E9" w:rsidP="00942207">
      <w:pPr>
        <w:pStyle w:val="11"/>
        <w:spacing w:line="240" w:lineRule="auto"/>
        <w:ind w:firstLine="709"/>
        <w:jc w:val="both"/>
        <w:rPr>
          <w:sz w:val="22"/>
          <w:szCs w:val="22"/>
        </w:rPr>
      </w:pP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>В последние годы агропромышленный комплекс Донецкой Народной Республики демонстрирует хорошую динамику развития.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>На территории Донецкой Народной Республики завершается сев яровых культур. Из запланированных 198,5 тыс. га по состоянию на 20.06.2024 посеяно 195,5 тыс. га яровых культур или 98,5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 xml:space="preserve">% от плана. </w:t>
      </w:r>
      <w:proofErr w:type="gramStart"/>
      <w:r w:rsidRPr="00C3327C">
        <w:rPr>
          <w:color w:val="000000"/>
          <w:sz w:val="28"/>
          <w:szCs w:val="28"/>
        </w:rPr>
        <w:t>В том числе посеяно: ранних яровых зерновых и зернобобовых культур – 47,7 тыс.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га (102,2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% от плана), поздних яровых зерновых культур – 20,7 тыс.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га (81,8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% от плана), технических культур – 121,2 тыс.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га (99,4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% от плана), картофеля и овощебахчевых культур – 442,1 га (69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% от плана), кормовых культур – 5,5 тыс. га (141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% от плана).</w:t>
      </w:r>
      <w:proofErr w:type="gramEnd"/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Необходимо отметить, что на территории Донецкой Народной Республики весной текущего года сложились неблагоприятные агрометеорологические условия, характеризующиеся дефицитом осадков, высокими дневными температурами в апреле и возвратными заморозками </w:t>
      </w:r>
      <w:r w:rsidR="00026706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>в начале мая, которые негативно повлияли на рост и развитие сельскохозяйственных культур. Как следствие, Указом Главы Донецкой Народной Республики от</w:t>
      </w:r>
      <w:r w:rsidR="00026706" w:rsidRPr="00C3327C">
        <w:rPr>
          <w:color w:val="000000"/>
          <w:sz w:val="28"/>
          <w:szCs w:val="28"/>
        </w:rPr>
        <w:t xml:space="preserve"> </w:t>
      </w:r>
      <w:r w:rsidRPr="00C3327C">
        <w:rPr>
          <w:color w:val="000000"/>
          <w:sz w:val="28"/>
          <w:szCs w:val="28"/>
        </w:rPr>
        <w:t>30 мая 2024 года №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 xml:space="preserve">276 на территории Донецкой Народной Республики введена чрезвычайная ситуация регионального характера. 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В связи с введением чрезвычайной ситуации Министерством агропромышленной политики и продовольствия Донецкой Народной Республики проводится корректировка структуры посевных </w:t>
      </w:r>
      <w:proofErr w:type="gramStart"/>
      <w:r w:rsidRPr="00C3327C">
        <w:rPr>
          <w:color w:val="000000"/>
          <w:sz w:val="28"/>
          <w:szCs w:val="28"/>
        </w:rPr>
        <w:t>площадей</w:t>
      </w:r>
      <w:proofErr w:type="gramEnd"/>
      <w:r w:rsidRPr="00C3327C">
        <w:rPr>
          <w:color w:val="000000"/>
          <w:sz w:val="28"/>
          <w:szCs w:val="28"/>
        </w:rPr>
        <w:t xml:space="preserve"> </w:t>
      </w:r>
      <w:r w:rsidR="00026706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>и принимаются меры по созданию условий для стабильного функционирования рынка зерна в регионе.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На основании изложенного ожидаемый индекс производства продукции растениеводства в 2024 году в сравнении с прошлым годом составит </w:t>
      </w:r>
      <w:r w:rsidR="00026706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>порядка 60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%.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lastRenderedPageBreak/>
        <w:t xml:space="preserve">В целом, в 2024 году намечена положительная динамика производства основных видов продукции животноводства. </w:t>
      </w:r>
      <w:proofErr w:type="gramStart"/>
      <w:r w:rsidRPr="00C3327C">
        <w:rPr>
          <w:color w:val="000000"/>
          <w:sz w:val="28"/>
          <w:szCs w:val="28"/>
        </w:rPr>
        <w:t xml:space="preserve">Так, по состоянию на 01.07.2024 </w:t>
      </w:r>
      <w:r w:rsidR="00026706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>в хозяйствах организованного сектора Донецкой Народной Республики объем производства молока коровьего увеличился на 12,4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% и составил 25,2 тыс. тонн, производство яиц куриных также увеличилось на 7,7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 xml:space="preserve">% и составило </w:t>
      </w:r>
      <w:r w:rsidRPr="00C3327C">
        <w:rPr>
          <w:color w:val="000000"/>
          <w:sz w:val="28"/>
          <w:szCs w:val="28"/>
        </w:rPr>
        <w:br/>
        <w:t>150,3 млн</w:t>
      </w:r>
      <w:r w:rsidR="00026706" w:rsidRPr="00C3327C">
        <w:rPr>
          <w:color w:val="000000"/>
          <w:sz w:val="28"/>
          <w:szCs w:val="28"/>
        </w:rPr>
        <w:t>. </w:t>
      </w:r>
      <w:r w:rsidRPr="00C3327C">
        <w:rPr>
          <w:color w:val="000000"/>
          <w:sz w:val="28"/>
          <w:szCs w:val="28"/>
        </w:rPr>
        <w:t xml:space="preserve">шт. Производство скота и птицы на убой в живом весе составило </w:t>
      </w:r>
      <w:r w:rsidRPr="00C3327C">
        <w:rPr>
          <w:color w:val="000000"/>
          <w:sz w:val="28"/>
          <w:szCs w:val="28"/>
        </w:rPr>
        <w:br/>
        <w:t>20,3 тыс. тонн или 90,6</w:t>
      </w:r>
      <w:r w:rsidR="00026706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% к уровню аналогичного периода прошлого года.</w:t>
      </w:r>
      <w:proofErr w:type="gramEnd"/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proofErr w:type="gramStart"/>
      <w:r w:rsidRPr="00C3327C">
        <w:rPr>
          <w:color w:val="000000"/>
          <w:sz w:val="28"/>
          <w:szCs w:val="28"/>
        </w:rPr>
        <w:t>С целью увеличения объемов производства продовольственных товаров, снижения логистических расходов, влияющих на формирование розничной цены</w:t>
      </w:r>
      <w:r w:rsidRPr="00C3327C">
        <w:rPr>
          <w:color w:val="000000"/>
        </w:rPr>
        <w:t xml:space="preserve"> </w:t>
      </w:r>
      <w:r w:rsidRPr="00C3327C">
        <w:rPr>
          <w:color w:val="000000"/>
          <w:sz w:val="28"/>
          <w:szCs w:val="28"/>
        </w:rPr>
        <w:t>и</w:t>
      </w:r>
      <w:r w:rsidRPr="00C3327C">
        <w:rPr>
          <w:color w:val="000000"/>
        </w:rPr>
        <w:t xml:space="preserve"> </w:t>
      </w:r>
      <w:r w:rsidRPr="00C3327C">
        <w:rPr>
          <w:color w:val="000000"/>
          <w:sz w:val="28"/>
          <w:szCs w:val="28"/>
        </w:rPr>
        <w:t>в</w:t>
      </w:r>
      <w:r w:rsidRPr="00C3327C">
        <w:rPr>
          <w:color w:val="000000"/>
        </w:rPr>
        <w:t xml:space="preserve"> </w:t>
      </w:r>
      <w:r w:rsidRPr="00C3327C">
        <w:rPr>
          <w:color w:val="000000"/>
          <w:sz w:val="28"/>
          <w:szCs w:val="28"/>
        </w:rPr>
        <w:t>конечном</w:t>
      </w:r>
      <w:r w:rsidRPr="00C3327C">
        <w:rPr>
          <w:color w:val="000000"/>
        </w:rPr>
        <w:t xml:space="preserve"> </w:t>
      </w:r>
      <w:r w:rsidRPr="00C3327C">
        <w:rPr>
          <w:color w:val="000000"/>
          <w:sz w:val="28"/>
          <w:szCs w:val="28"/>
        </w:rPr>
        <w:t>итоге</w:t>
      </w:r>
      <w:r w:rsidRPr="00C3327C">
        <w:rPr>
          <w:color w:val="000000"/>
        </w:rPr>
        <w:t xml:space="preserve"> </w:t>
      </w:r>
      <w:r w:rsidRPr="00C3327C">
        <w:rPr>
          <w:color w:val="000000"/>
          <w:sz w:val="28"/>
          <w:szCs w:val="28"/>
        </w:rPr>
        <w:t>повышения</w:t>
      </w:r>
      <w:r w:rsidRPr="00C3327C">
        <w:rPr>
          <w:color w:val="000000"/>
        </w:rPr>
        <w:t xml:space="preserve"> </w:t>
      </w:r>
      <w:r w:rsidRPr="00C3327C">
        <w:rPr>
          <w:color w:val="000000"/>
          <w:sz w:val="28"/>
          <w:szCs w:val="28"/>
        </w:rPr>
        <w:t>доступности основных</w:t>
      </w:r>
      <w:r w:rsidR="001A6DC0" w:rsidRPr="00C3327C">
        <w:rPr>
          <w:color w:val="000000"/>
          <w:sz w:val="28"/>
          <w:szCs w:val="28"/>
        </w:rPr>
        <w:t xml:space="preserve"> </w:t>
      </w:r>
      <w:r w:rsidRPr="00C3327C">
        <w:rPr>
          <w:color w:val="000000"/>
          <w:sz w:val="28"/>
          <w:szCs w:val="28"/>
        </w:rPr>
        <w:t xml:space="preserve">продовольственных товаров на внутреннем рынке Донецкой Народной Республики, в регионе осуществляется организация работы по реализации порядка 25 масштабных инвестиционных проектов, в том числе 10 из которых находятся в стадии формирования идеи. </w:t>
      </w:r>
      <w:proofErr w:type="gramEnd"/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Результатами реализации данных проектов станут: 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>привлечение инвестиций в агропромышленный комплекс Донецкой Народной Республики на сумму более 25,0 млрд</w:t>
      </w:r>
      <w:r w:rsidR="00026706" w:rsidRPr="00C3327C">
        <w:rPr>
          <w:color w:val="000000"/>
          <w:sz w:val="28"/>
          <w:szCs w:val="28"/>
        </w:rPr>
        <w:t>.</w:t>
      </w:r>
      <w:r w:rsidRPr="00C3327C">
        <w:rPr>
          <w:color w:val="000000"/>
          <w:sz w:val="28"/>
          <w:szCs w:val="28"/>
        </w:rPr>
        <w:t xml:space="preserve"> руб.; 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создание более 6,0 тыс. рабочих мест; 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>налоговые поступления в бюджеты всех уровней более 300,0 млн</w:t>
      </w:r>
      <w:r w:rsidR="00813C4B" w:rsidRPr="00C3327C">
        <w:rPr>
          <w:color w:val="000000"/>
          <w:sz w:val="28"/>
          <w:szCs w:val="28"/>
        </w:rPr>
        <w:t>. </w:t>
      </w:r>
      <w:r w:rsidRPr="00C3327C">
        <w:rPr>
          <w:color w:val="000000"/>
          <w:sz w:val="28"/>
          <w:szCs w:val="28"/>
        </w:rPr>
        <w:t xml:space="preserve">руб. </w:t>
      </w:r>
      <w:r w:rsidR="00813C4B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 xml:space="preserve">в год; 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>увеличение</w:t>
      </w:r>
      <w:r w:rsidR="00813C4B" w:rsidRPr="00C3327C">
        <w:rPr>
          <w:color w:val="000000"/>
          <w:sz w:val="28"/>
          <w:szCs w:val="28"/>
        </w:rPr>
        <w:t xml:space="preserve"> </w:t>
      </w:r>
      <w:r w:rsidRPr="00C3327C">
        <w:rPr>
          <w:color w:val="000000"/>
          <w:sz w:val="28"/>
          <w:szCs w:val="28"/>
        </w:rPr>
        <w:t>производства продовольственных товаров (путем</w:t>
      </w:r>
      <w:r w:rsidR="001E6E1B" w:rsidRPr="00C3327C">
        <w:rPr>
          <w:color w:val="000000"/>
          <w:sz w:val="28"/>
          <w:szCs w:val="28"/>
        </w:rPr>
        <w:t xml:space="preserve"> </w:t>
      </w:r>
      <w:r w:rsidRPr="00C3327C">
        <w:rPr>
          <w:color w:val="000000"/>
          <w:sz w:val="28"/>
          <w:szCs w:val="28"/>
        </w:rPr>
        <w:t>строительства хлебозавода в г.</w:t>
      </w:r>
      <w:r w:rsidR="00813C4B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Мариуполь, реконструкции и модернизации тепличных хозяйств г. </w:t>
      </w:r>
      <w:proofErr w:type="spellStart"/>
      <w:r w:rsidRPr="00C3327C">
        <w:rPr>
          <w:color w:val="000000"/>
          <w:sz w:val="28"/>
          <w:szCs w:val="28"/>
        </w:rPr>
        <w:t>Зугрэсе</w:t>
      </w:r>
      <w:proofErr w:type="spellEnd"/>
      <w:r w:rsidRPr="00C3327C">
        <w:rPr>
          <w:color w:val="000000"/>
          <w:sz w:val="28"/>
          <w:szCs w:val="28"/>
        </w:rPr>
        <w:t xml:space="preserve"> и в г.</w:t>
      </w:r>
      <w:r w:rsidR="001E6E1B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 xml:space="preserve">Донецке, строительства маслоэкстракционного завода, молочно-товарной фермы, фермы мясного направления птицеводства, </w:t>
      </w:r>
      <w:proofErr w:type="spellStart"/>
      <w:r w:rsidRPr="00C3327C">
        <w:rPr>
          <w:color w:val="000000"/>
          <w:sz w:val="28"/>
          <w:szCs w:val="28"/>
        </w:rPr>
        <w:t>Агротехнопарка</w:t>
      </w:r>
      <w:proofErr w:type="spellEnd"/>
      <w:r w:rsidRPr="00C3327C">
        <w:rPr>
          <w:color w:val="000000"/>
          <w:sz w:val="28"/>
          <w:szCs w:val="28"/>
        </w:rPr>
        <w:t xml:space="preserve">, создания осетровой фермы </w:t>
      </w:r>
      <w:r w:rsidR="001E6E1B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 xml:space="preserve">и нерестово-выростного хозяйства, предприятия по переработке меда, восстановление бывшей кондитерской фабрики и др.); 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>расширение мощностей хранения путем постройки овощехранилища,            Агро-</w:t>
      </w:r>
      <w:proofErr w:type="spellStart"/>
      <w:r w:rsidRPr="00C3327C">
        <w:rPr>
          <w:color w:val="000000"/>
          <w:sz w:val="28"/>
          <w:szCs w:val="28"/>
        </w:rPr>
        <w:t>молла</w:t>
      </w:r>
      <w:proofErr w:type="spellEnd"/>
      <w:r w:rsidRPr="00C3327C">
        <w:rPr>
          <w:color w:val="000000"/>
          <w:sz w:val="28"/>
          <w:szCs w:val="28"/>
        </w:rPr>
        <w:t>, холодильного склада, элеваторных комплексов,</w:t>
      </w:r>
      <w:r w:rsidR="001E6E1B" w:rsidRPr="00C3327C">
        <w:rPr>
          <w:color w:val="000000"/>
          <w:sz w:val="28"/>
          <w:szCs w:val="28"/>
        </w:rPr>
        <w:t xml:space="preserve"> </w:t>
      </w:r>
      <w:proofErr w:type="spellStart"/>
      <w:r w:rsidRPr="00C3327C">
        <w:rPr>
          <w:color w:val="000000"/>
          <w:sz w:val="28"/>
          <w:szCs w:val="28"/>
        </w:rPr>
        <w:t>зерноперевалочного</w:t>
      </w:r>
      <w:proofErr w:type="spellEnd"/>
      <w:r w:rsidRPr="00C3327C">
        <w:rPr>
          <w:color w:val="000000"/>
          <w:sz w:val="28"/>
          <w:szCs w:val="28"/>
        </w:rPr>
        <w:t xml:space="preserve"> комплекса и логистического центра; 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содействие развитию торговли (строительство рынка продовольственных и непродовольственных товаров в г. Макеевка); 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строительство дилерского центра первой категории. 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Кроме масштабных инвестиционных проектов, предприятиями агропромышленного комплекса планируется реализация </w:t>
      </w:r>
      <w:proofErr w:type="spellStart"/>
      <w:r w:rsidRPr="00C3327C">
        <w:rPr>
          <w:color w:val="000000"/>
          <w:sz w:val="28"/>
          <w:szCs w:val="28"/>
        </w:rPr>
        <w:t>инвестпроектов</w:t>
      </w:r>
      <w:proofErr w:type="spellEnd"/>
      <w:r w:rsidRPr="00C3327C">
        <w:rPr>
          <w:color w:val="000000"/>
          <w:sz w:val="28"/>
          <w:szCs w:val="28"/>
        </w:rPr>
        <w:t xml:space="preserve"> </w:t>
      </w:r>
      <w:r w:rsidR="001E6E1B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 xml:space="preserve">в рамках деятельности в свободной экономической зоне. 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>На текущий момент участниками свободной экономической зоны уже являются 6 предприятий агропромышленного комплекса Донецкой Народной Республики, которые планируют инвестировать порядка 400,0 млн</w:t>
      </w:r>
      <w:r w:rsidR="001E6E1B" w:rsidRPr="00C3327C">
        <w:rPr>
          <w:color w:val="000000"/>
          <w:sz w:val="28"/>
          <w:szCs w:val="28"/>
        </w:rPr>
        <w:t>. </w:t>
      </w:r>
      <w:r w:rsidRPr="00C3327C">
        <w:rPr>
          <w:color w:val="000000"/>
          <w:sz w:val="28"/>
          <w:szCs w:val="28"/>
        </w:rPr>
        <w:t xml:space="preserve">руб. </w:t>
      </w:r>
      <w:r w:rsidR="001E6E1B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>на модернизацию производства, оборудования и закупку техники.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proofErr w:type="gramStart"/>
      <w:r w:rsidRPr="00C3327C">
        <w:rPr>
          <w:color w:val="000000"/>
          <w:sz w:val="28"/>
          <w:szCs w:val="28"/>
        </w:rPr>
        <w:t xml:space="preserve">Государственная поддержка оказывается сельскохозяйственным предприятиям Донецкой Народной Республики в рамках Региональной программы, в виде субсидий на поддержку сельскохозяйственного производства по отдельным </w:t>
      </w:r>
      <w:proofErr w:type="spellStart"/>
      <w:r w:rsidRPr="00C3327C">
        <w:rPr>
          <w:color w:val="000000"/>
          <w:sz w:val="28"/>
          <w:szCs w:val="28"/>
        </w:rPr>
        <w:t>подотраслям</w:t>
      </w:r>
      <w:proofErr w:type="spellEnd"/>
      <w:r w:rsidRPr="00C3327C">
        <w:rPr>
          <w:color w:val="000000"/>
          <w:sz w:val="28"/>
          <w:szCs w:val="28"/>
        </w:rPr>
        <w:t xml:space="preserve"> растениеводства, животноводства </w:t>
      </w:r>
      <w:r w:rsidR="001E6E1B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>и перерабатывающей промышленности.</w:t>
      </w:r>
      <w:proofErr w:type="gramEnd"/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lastRenderedPageBreak/>
        <w:t xml:space="preserve">В соответствии с постановлениями Правительства Донецкой Народной Республики от 27 июля 2023 года утверждены Порядки предоставления субсидий в рамках реализации Региональной программы, проводится отбор получателей субсидий из бюджета Донецкой Народной Республики. 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>По состоянию на 20.06.2024 одобрено 69 пакетов заявочной документации на поддержку собственного производства зерновых, молока, овощей и картофеля, хлебопекарной промышленности, предприятия включены в реестр получателей субсидии, заключены соглашения, средства перечислены предприятиям на общую сумму 435 645,9 тыс. руб.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Обновление парка сельхозтехники является основным звеном </w:t>
      </w:r>
      <w:r w:rsidR="00A41574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>в обеспечении своевременного и бесперебойного проведения сезонных полевых работ. В 2024 году аграрии Донецкой Народной Республики запланировали приобрести более 300 единиц сельскохозяйственной техники.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По состоянию на 24.07.2024 </w:t>
      </w:r>
      <w:proofErr w:type="spellStart"/>
      <w:r w:rsidRPr="00C3327C">
        <w:rPr>
          <w:color w:val="000000"/>
          <w:sz w:val="28"/>
          <w:szCs w:val="28"/>
        </w:rPr>
        <w:t>сельхозтоваропроизводителями</w:t>
      </w:r>
      <w:proofErr w:type="spellEnd"/>
      <w:r w:rsidRPr="00C3327C">
        <w:rPr>
          <w:color w:val="000000"/>
          <w:sz w:val="28"/>
          <w:szCs w:val="28"/>
        </w:rPr>
        <w:t xml:space="preserve"> Донецкой Народной Республики приобретено 129 единиц сельскохозяйственной техники, из них: тракторов – 24 единицы; комбайнов – 9 единиц; прочей техники – </w:t>
      </w:r>
      <w:r w:rsidR="00A41574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>96 единиц.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В 2024 году Министерством агропромышленной политики </w:t>
      </w:r>
      <w:r w:rsidR="00A41574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 xml:space="preserve">и продовольствия Донецкой Народной Республики принято 50 заявок </w:t>
      </w:r>
      <w:r w:rsidR="00A41574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 xml:space="preserve">на приобретение 179 единиц сельскохозяйственной техники в лизинг </w:t>
      </w:r>
      <w:r w:rsidR="00A41574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>в АО «</w:t>
      </w:r>
      <w:proofErr w:type="spellStart"/>
      <w:r w:rsidRPr="00C3327C">
        <w:rPr>
          <w:color w:val="000000"/>
          <w:sz w:val="28"/>
          <w:szCs w:val="28"/>
        </w:rPr>
        <w:t>Росагролизинг</w:t>
      </w:r>
      <w:proofErr w:type="spellEnd"/>
      <w:r w:rsidRPr="00C3327C">
        <w:rPr>
          <w:color w:val="000000"/>
          <w:sz w:val="28"/>
          <w:szCs w:val="28"/>
        </w:rPr>
        <w:t>».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>Министерством агропромышленной политики и продовольствия Донецкой Народной Республики оказывается содействие сельхозпроизводителям в вовлечении в оборот земель сельскохозяйственного назначения, неиспользуемых в результате возможного наличия взрывоопасных предметов.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В 2024 году Министерством агропромышленной политики </w:t>
      </w:r>
      <w:r w:rsidR="00A41574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 xml:space="preserve">и продовольствия Донецкой Народной Республики подготовлены и направлены заявки 5 сельхозпроизводителей на проведение работ по обследованию </w:t>
      </w:r>
      <w:r w:rsidR="00A41574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>на наличие взрывоопасных предметов земель сельскохозяйственного назначения общей площадью 4,6 тыс</w:t>
      </w:r>
      <w:r w:rsidR="00A41574" w:rsidRPr="00C3327C">
        <w:rPr>
          <w:color w:val="000000"/>
          <w:sz w:val="28"/>
          <w:szCs w:val="28"/>
        </w:rPr>
        <w:t>. </w:t>
      </w:r>
      <w:r w:rsidRPr="00C3327C">
        <w:rPr>
          <w:color w:val="000000"/>
          <w:sz w:val="28"/>
          <w:szCs w:val="28"/>
        </w:rPr>
        <w:t>га. В текущем году по оперативной информации на 25.07.2024 специалистами инженерных войск Вооруженных сил Российской Федерации проведены работы по очистке от взрывоопасных предметов на 449 га пашни.</w:t>
      </w:r>
    </w:p>
    <w:p w:rsidR="00FA54E9" w:rsidRPr="00C3327C" w:rsidRDefault="002B21FB" w:rsidP="00942207">
      <w:pPr>
        <w:pStyle w:val="s5mrcssattr"/>
        <w:spacing w:beforeAutospacing="0" w:after="0" w:afterAutospacing="0"/>
        <w:ind w:firstLine="709"/>
        <w:jc w:val="both"/>
      </w:pPr>
      <w:r w:rsidRPr="00C3327C">
        <w:rPr>
          <w:color w:val="000000"/>
          <w:sz w:val="28"/>
          <w:szCs w:val="28"/>
        </w:rPr>
        <w:t xml:space="preserve">На основании ранее направленных Министерством агропромышленной политики и продовольствия Донецкой Народной Республики заявок </w:t>
      </w:r>
      <w:r w:rsidR="00A41574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 xml:space="preserve">в Министерстве по делам гражданской обороны, чрезвычайным ситуация </w:t>
      </w:r>
      <w:r w:rsidR="00A41574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 xml:space="preserve">и ликвидации последствий стихийных бедствий Донецкой Народной Республики остаются в работе заявки 62 сельхозпроизводителей </w:t>
      </w:r>
      <w:r w:rsidR="00A41574" w:rsidRPr="00C3327C">
        <w:rPr>
          <w:color w:val="000000"/>
          <w:sz w:val="28"/>
          <w:szCs w:val="28"/>
        </w:rPr>
        <w:br/>
      </w:r>
      <w:r w:rsidRPr="00C3327C">
        <w:rPr>
          <w:color w:val="000000"/>
          <w:sz w:val="28"/>
          <w:szCs w:val="28"/>
        </w:rPr>
        <w:t>на обследование земель сельскохозяйственного назначения общей площадью 31,3 тыс.</w:t>
      </w:r>
      <w:r w:rsidR="00A41574" w:rsidRPr="00C3327C">
        <w:rPr>
          <w:color w:val="000000"/>
          <w:sz w:val="28"/>
          <w:szCs w:val="28"/>
        </w:rPr>
        <w:t> </w:t>
      </w:r>
      <w:r w:rsidRPr="00C3327C">
        <w:rPr>
          <w:color w:val="000000"/>
          <w:sz w:val="28"/>
          <w:szCs w:val="28"/>
        </w:rPr>
        <w:t>га на наличие взрывоопасных предметов. Дополнительная информация о сельскохозяйственных угодьях, на которых необходимо провести обследование на наличие взрывоопасных предметов, продолжает поступать от сельхозпроизводителей.</w:t>
      </w:r>
    </w:p>
    <w:p w:rsidR="00FA54E9" w:rsidRPr="00C3327C" w:rsidRDefault="00FA54E9" w:rsidP="0094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Строительство</w:t>
      </w:r>
    </w:p>
    <w:p w:rsidR="00FA54E9" w:rsidRPr="00C3327C" w:rsidRDefault="00FA54E9" w:rsidP="00942207">
      <w:pPr>
        <w:pStyle w:val="11"/>
        <w:spacing w:line="240" w:lineRule="auto"/>
        <w:ind w:firstLine="709"/>
        <w:jc w:val="both"/>
        <w:rPr>
          <w:sz w:val="22"/>
          <w:szCs w:val="22"/>
        </w:rPr>
      </w:pP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Текущая ситуация в регионе характеризуется существенным уровнем разрушений жилищной и коммунальной инфраструктур, отсутствием либо низкими темпами жилищного строительства, отсутствием обеспечивающей инфраструктуры, отсутствием производственных мощностей для целей многоквартирного и индивидуального жилищного строительства. Жилищные условия граждан, проживающих на территории новых регионов</w:t>
      </w:r>
      <w:r w:rsidRPr="00C3327C">
        <w:rPr>
          <w:color w:val="000000" w:themeColor="text1"/>
          <w:sz w:val="28"/>
          <w:szCs w:val="28"/>
        </w:rPr>
        <w:t xml:space="preserve"> </w:t>
      </w: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Федерации, в своем большинстве нуждаются в улучшении.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Восстановление и новое строительство многоквартирных домов, объектов социального, культурного и бытового назначения, административных зданий имеет ключевое значение для повышения </w:t>
      </w:r>
      <w:proofErr w:type="gramStart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качества уровня жизни населения новых регионов</w:t>
      </w:r>
      <w:proofErr w:type="gramEnd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восстановления утраченного и поврежденного жилья </w:t>
      </w:r>
      <w:r w:rsidR="00A41574"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41574"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результате боевых действий, а также обеспечения достижения к 2030 году уровня среднероссийских показателей качества жизни граждан Российской Федерации и общероссийского уровня социально-экономического развития необходимо осуществить реализацию комплекса мероприятий, направленных на развитие жилищного строительства.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удовлетворенности граждан </w:t>
      </w:r>
      <w:r w:rsidR="00A41574"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уровнем обеспеченности жильем и </w:t>
      </w: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жилищно-коммунального хозяйства на территории Донецкой Народной Республики определено следующими приоритетными направлениями:</w:t>
      </w:r>
    </w:p>
    <w:p w:rsidR="00FA54E9" w:rsidRPr="00C3327C" w:rsidRDefault="002B21FB" w:rsidP="00942207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наращивание градостроительного потенциала;</w:t>
      </w:r>
    </w:p>
    <w:p w:rsidR="00FA54E9" w:rsidRPr="00C3327C" w:rsidRDefault="002B21FB" w:rsidP="00942207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дорожной и коммунальной инфраструктуры в целях инфраструктурного обеспечения новых проектов жилищного строительства;</w:t>
      </w:r>
    </w:p>
    <w:p w:rsidR="00FA54E9" w:rsidRPr="00C3327C" w:rsidRDefault="002B21FB" w:rsidP="00942207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проектного финансирования жилищного строительства, </w:t>
      </w:r>
      <w:r w:rsidR="00A41574"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с использованием мер государственной поддержки;</w:t>
      </w:r>
    </w:p>
    <w:p w:rsidR="00FA54E9" w:rsidRPr="00C3327C" w:rsidRDefault="002B21FB" w:rsidP="00942207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ипотечного кредитования;</w:t>
      </w:r>
    </w:p>
    <w:p w:rsidR="00FA54E9" w:rsidRPr="00C3327C" w:rsidRDefault="002B21FB" w:rsidP="00942207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индивидуального жилищного строительства;</w:t>
      </w:r>
    </w:p>
    <w:p w:rsidR="00FA54E9" w:rsidRPr="00C3327C" w:rsidRDefault="002B21FB" w:rsidP="00942207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жильем отдельных категорий граждан; </w:t>
      </w:r>
    </w:p>
    <w:p w:rsidR="00FA54E9" w:rsidRPr="00C3327C" w:rsidRDefault="002B21FB" w:rsidP="00942207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устойчивого сокращения непригодного для проживания жилищного фонда.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сбалансированного и устойчивого развития территорий путем повышения качества городской среды и улучшения внешнего облика, архитектурно-стилистических и иных характеристик объектов капитального строительства, развития транспортной, социальной, инженерной инфраструктур, благоустройства территорий поселений и повышения эффективности их использования, создания условий для привлечения внебюджетных источников финансирования обновления застроенных территорий приоритетным является применение механизмов комплексного развития территорий.</w:t>
      </w:r>
      <w:proofErr w:type="gramEnd"/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указанного механизма включает следующие этапы:</w:t>
      </w:r>
    </w:p>
    <w:p w:rsidR="00FA54E9" w:rsidRPr="00C3327C" w:rsidRDefault="002B21FB" w:rsidP="00942207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региональных нормативных актов, регулирующих вопросы комплексного развития территорий;</w:t>
      </w:r>
    </w:p>
    <w:p w:rsidR="00FA54E9" w:rsidRPr="00C3327C" w:rsidRDefault="002B21FB" w:rsidP="00942207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создание на региональном и (или) местном уровнях юридического лица, которое может быть назначено исполнителем решений о комплексном развитии соответствующих территорий без проведения торгов;</w:t>
      </w:r>
    </w:p>
    <w:p w:rsidR="00FA54E9" w:rsidRPr="00C3327C" w:rsidRDefault="002B21FB" w:rsidP="00942207">
      <w:pPr>
        <w:tabs>
          <w:tab w:val="left" w:pos="1134"/>
        </w:tabs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на региональном и (или) местном уровнях решений </w:t>
      </w:r>
      <w:r w:rsidR="00140644"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о комплексном развитии территорий и заключение договоров о комплексном развитии территорий.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основных задач по развитию жилищного строительства </w:t>
      </w:r>
      <w:r w:rsidR="00140644"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регионе является обеспечение сформированных земельных участков </w:t>
      </w:r>
      <w:r w:rsidR="00140644"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перспективных территорий под жилищное строительство необходимой коммунальной и дорожной инфраструктурой. 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развития жилищного строительства на территории Донецкой Народной Республики предусмотрены следующие показатели по вводу жилья (консервативный прогноз): на 2024 год – 420,0 тыс.</w:t>
      </w:r>
      <w:r w:rsidR="00140644"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140644"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на 2025 год – </w:t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753,0 тыс. кв. м, на 2026 год – 968,0 тыс. кв. м, на 2027 год – 1</w:t>
      </w:r>
      <w:r w:rsidR="00140644"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184,0 тыс. кв. м, на 2028 год – 1 608,0 тыс. кв. м, на 2029 год – 1 790,0 тыс</w:t>
      </w:r>
      <w:proofErr w:type="gramEnd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. кв. м, на 2030 год – 1 790,0 тыс. кв. м.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для достижения среднероссийского показателя – ввод </w:t>
      </w: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0,8 кв. м на человека к 2030 году необходимо увеличение объемов ввода жилья по годам до следующих показателей (оптимистичный прогноз): на 2024 год – 537,6 тыс. кв. м, на 2025 год – 963,8 тыс. кв. м, на 2026 год – 1 239,0 тыс. кв. м, на 2027 год – 1 515,5 тыс. кв. м, на 2028 год</w:t>
      </w:r>
      <w:proofErr w:type="gramEnd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2 058,2 тыс. кв. м, на 2029 год – 2 291,2 тыс. кв. м, на 2030 год – 2 302,5 тыс. кв. м.</w:t>
      </w:r>
      <w:proofErr w:type="gramEnd"/>
    </w:p>
    <w:p w:rsidR="00FA54E9" w:rsidRPr="00C3327C" w:rsidRDefault="00FA54E9" w:rsidP="0094220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Сфера внутренней торговли и бытовые услуги населению</w:t>
      </w:r>
    </w:p>
    <w:p w:rsidR="00FA54E9" w:rsidRPr="00C3327C" w:rsidRDefault="00FA54E9" w:rsidP="00942207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По состоянию на 01.04.2024 количество действующих объектов торговли составило 14 588 объектов, что на 1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больше, чем на 01.04.2023, объектов общественного питания – 1 908 объектов (на 3,5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больше, чем на 01.04.2023), объектов бытового обслуживания населения – 3 457 объектов (на 3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меньше, чем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01.04.2023).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Согласно статистическим данным в 2023 году оборот розничной торговли вырос на 31,3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по сравнению с аналогичным годом, объем основных 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видов бытовых услуг, входящих в сферу деятельности Министерства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промышленности и торговли Донецкой Народной Республики, – 142,3 млн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руб., что больше почти в 3 раза по сравнению с 2022 годом. 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Учитывая сценарные условия функционирования экономики и основные параметры прогноза социально-экономического развития Российской Федерации, в 2024 году ожидается рост оборота розничной торговли на 10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(по базовому прогнозу в 2027 году в сравнении с текущим годом планируется увеличение оборота до 10,3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%), рост объема основных видов бытовых услуг, входящих в сферу деятельности Министерства промышленности и торговли Донецкой Народной Республики, – на 5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 (по базовому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прогнозу в 2027 году 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сравнении с текущим годом планируется увеличение объема бытовых услуг до 7,2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F666A5" w:rsidRPr="00C3327C" w:rsidRDefault="00F666A5" w:rsidP="009422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Прогнозируемый рост оборота розничной торговли и объема бытовых услуг обусловлен, в первую очередь, восстановлением и расширением торговой инфраструктуры на вновь освобожденных территориях Донецкой Народной Республики, а также открытием новых магазинов на существующей территории.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Торговля является динамично развивающейся сферой, умеющей адаптироваться под внешние факторы, влияющие на социально-экономическое состояние государства. При этом следует отметить ряд возникающих проблем, препятствующих развитию: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дефицит в сфере торговли, связанный с оттоком населения 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 повышенными заработными платами в сферах восстановления Донецкой Народной Республики;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угроза артиллерийских обстрелов со стороны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ВСУ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, что значительно затрудняет проведение восстановления торговой инфраструктуры и открытие новых торговых объектов в зонах повышенного риска;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градостроительной документации, материалов застройки, 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проектов зонирования и планировки территории,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мастер-планов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 генпланов муниципальных образований, что затрудняет в данный момент выделение земельных участков под строительство новых объектов торговли (исключением является выделение земельного участка путем реализации инвестиционного проекта через Государственный Концерн «Корпорация развития Донбасса»).</w:t>
      </w:r>
    </w:p>
    <w:p w:rsidR="00FA54E9" w:rsidRPr="00C3327C" w:rsidRDefault="00FA54E9" w:rsidP="00942207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Малое и среднее предпринимательство, включая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</w:p>
    <w:p w:rsidR="00FA54E9" w:rsidRPr="00C3327C" w:rsidRDefault="00FA54E9" w:rsidP="009422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С 01.01.2023 условия отнесения к субъектам малого и среднего предпринимательства и ведение реестра малого и среднего предпринимательства определены Федеральным законом от 24 июня 2007 года №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209-ФЗ «О развитии малого и среднего предпринимательства в Российской Федерации» и Законом Донецкой Народной Республики от 27 января 2023 года №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432-IIНС «О развитии малого и среднего предпринимательства в Донецкой Народной Республике». </w:t>
      </w:r>
      <w:proofErr w:type="gramEnd"/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10.07.2024 по информации, предоставленной Управлением Федеральной налоговой службы по Донецкой Народной Республике, зарегистрировано 85,7 тыс. хозяйствующих субъектов (в том числе «самозанятые»), из которых юридических лица – 20,8 тыс. 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Единый реестр субъектов малого и среднего предпринимательства внесены 45,3 тыс. субъектов малого и среднего предпринимательства Донецкой Народной Республики, из них: 2,5 тыс. юридических лиц и 42,8 тыс. индивидуальных предпринимателей, что составляет 94,5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числа субъектов малого и среднего предпринимательства, состоящих в реестре. 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зарегистрировались как самозанятые 20,0 тыс. жителей Донецкой Народной Республики. По состоянию на 01.07.2024 объем реализованной продукции (товаров, услуг)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самозанятыми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 3,4 млн</w:t>
      </w:r>
      <w:r w:rsidR="001F0486" w:rsidRPr="00C332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</w:p>
    <w:p w:rsidR="0005656F" w:rsidRPr="00C3327C" w:rsidRDefault="0005656F" w:rsidP="009422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концу 2027 года по базовому прогнозу планируется увеличение количества субъектов малого и среднего предпринимательства на 44,2</w:t>
      </w:r>
      <w:r w:rsidR="008D270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8D2709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сравнении с 2023 годом, по консервативному – на 37,3</w:t>
      </w:r>
      <w:r w:rsidR="008D2709" w:rsidRP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FA54E9" w:rsidRPr="00C3327C" w:rsidRDefault="002B21FB" w:rsidP="00942207">
      <w:pPr>
        <w:widowControl w:val="0"/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количества малых и средних предприятий, в том числе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микропредприятий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, планируется за счет создания условий для развития бизнеса (функционирование Центра «Мой бизнес» (повышение предпринимательских компетенций, подготовка бизнес-планов, продвижение продукции),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АНО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«Микрокредитная компания Донецкой Народной Республики» (предоставление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микрокредитов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>), предоставление льготных кредитов, лизинга и иных мер поддержки).</w:t>
      </w:r>
    </w:p>
    <w:p w:rsidR="00FA54E9" w:rsidRPr="00C3327C" w:rsidRDefault="00FA54E9" w:rsidP="0094220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Инвестиции</w:t>
      </w:r>
    </w:p>
    <w:p w:rsidR="00FA54E9" w:rsidRPr="00C3327C" w:rsidRDefault="00FA54E9" w:rsidP="009422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Развитие экономики Донецкой Народной Республики в последние годы сдерживалось рядом факторов: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высоким уровнем неопределенности;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ограниченностью собственного финансового ресурса для частных инвестиций;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дефицитом инвестиционных ресурсов.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Стимулировать рост инвестиций в основной капитал в Донецкой Народной Республике в 2024</w:t>
      </w:r>
      <w:r w:rsidR="008D2709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2027 гг. планируется за счет: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восстановления</w:t>
      </w:r>
      <w:r w:rsidRPr="00C33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разрушенных и поврежденных объектов</w:t>
      </w:r>
      <w:r w:rsidR="008D2709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инфраструктуры;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развития свободной экономической зоны;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механизма предоставления земельных участков </w:t>
      </w:r>
      <w:r w:rsidR="008D2709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2709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государственного имущества без проведения конкурсов и торгов;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увеличения инвестиционной активности малого и среднего бизнеса,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том числе благодаря мерам поддержки, реализуемым на федеральном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и региональном уровнях;</w:t>
      </w:r>
      <w:proofErr w:type="gramEnd"/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 индустриального парка;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увеличения загрузки производственных мощностей предприятий,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в том числе в отраслях обрабатывающей и добывающей промышленности;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соглашений,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заключенных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Петербургском международном экономическом форуме в 2023 и 2024 годах.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внедрение в 2024 году регионального инвестиционного стандарта обеспечит стандартизацию инвестиционных процессов и приток внутренних инвестиций, позволит Республике укрепить показатели инвестиционной привлекательности.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прогноза осуществляется в условиях недостатка информации об инвестиционных планах ведущих промышленных </w:t>
      </w:r>
      <w:r w:rsidR="008D2709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2709"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финансовых предприятий Донецкой Народной Республики, инвестициях </w:t>
      </w:r>
      <w:r w:rsidR="008D2709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 экономику Республики из бюджетов всех уровней.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proofErr w:type="gramStart"/>
      <w:r w:rsidRPr="00C3327C">
        <w:rPr>
          <w:color w:val="000000"/>
        </w:rPr>
        <w:t xml:space="preserve">При формировании прогноза учитывались прогнозные данные индекса потребительских цен Министерства экономического развития Российской Федерации и темпы роста инвестиций в условиях базового и консервативного сценариев, а также оптимальное соотношение собственного и заемного </w:t>
      </w:r>
      <w:r w:rsidRPr="00C3327C">
        <w:rPr>
          <w:color w:val="000000"/>
        </w:rPr>
        <w:lastRenderedPageBreak/>
        <w:t>капитала, позволяющее обеспечить высокую рентабельность собственного капитала и умеренные риски субъектам хозяйствования Донецкой Народной Республики.</w:t>
      </w:r>
      <w:proofErr w:type="gramEnd"/>
    </w:p>
    <w:p w:rsidR="00FA54E9" w:rsidRPr="00C3327C" w:rsidRDefault="00FA54E9" w:rsidP="00942207">
      <w:pPr>
        <w:pStyle w:val="11"/>
        <w:spacing w:line="240" w:lineRule="auto"/>
        <w:ind w:firstLine="709"/>
        <w:jc w:val="both"/>
        <w:rPr>
          <w:b/>
          <w:bCs/>
          <w:i/>
          <w:iCs/>
        </w:rPr>
      </w:pP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Денежные доходы населения</w:t>
      </w:r>
    </w:p>
    <w:p w:rsidR="00FA54E9" w:rsidRPr="00C3327C" w:rsidRDefault="00FA54E9" w:rsidP="00942207">
      <w:pPr>
        <w:pStyle w:val="11"/>
        <w:spacing w:line="240" w:lineRule="auto"/>
        <w:ind w:firstLine="709"/>
        <w:jc w:val="both"/>
        <w:rPr>
          <w:sz w:val="22"/>
          <w:szCs w:val="22"/>
        </w:rPr>
      </w:pP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Величина прожиточного минимума на душу населения и по основным социально-демографическим группам населения в Донецкой Народной Республике на 2024 год установлена </w:t>
      </w:r>
      <w:r w:rsidR="00C15B26" w:rsidRPr="00C3327C">
        <w:rPr>
          <w:color w:val="000000"/>
        </w:rPr>
        <w:t>п</w:t>
      </w:r>
      <w:r w:rsidRPr="00C3327C">
        <w:rPr>
          <w:color w:val="000000"/>
        </w:rPr>
        <w:t>остановлением Правительства Донецкой Народной Республики от 28 сентября 2023 г</w:t>
      </w:r>
      <w:r w:rsidR="00C15B26" w:rsidRPr="00C3327C">
        <w:rPr>
          <w:color w:val="000000"/>
        </w:rPr>
        <w:t>.</w:t>
      </w:r>
      <w:r w:rsidRPr="00C3327C">
        <w:rPr>
          <w:color w:val="000000"/>
        </w:rPr>
        <w:t xml:space="preserve"> № 82-4.</w:t>
      </w:r>
    </w:p>
    <w:p w:rsidR="00FA54E9" w:rsidRPr="00C3327C" w:rsidRDefault="002B21FB" w:rsidP="00942207">
      <w:pPr>
        <w:pStyle w:val="11"/>
        <w:spacing w:line="240" w:lineRule="auto"/>
        <w:ind w:firstLine="709"/>
        <w:jc w:val="both"/>
      </w:pPr>
      <w:proofErr w:type="gramStart"/>
      <w:r w:rsidRPr="00C3327C">
        <w:rPr>
          <w:color w:val="000000"/>
        </w:rPr>
        <w:t>Базовый и консервативный вариант среднесрочного прогноза величины прожиточного минимума на период 2025</w:t>
      </w:r>
      <w:r w:rsidR="00C15B26" w:rsidRPr="00C3327C">
        <w:rPr>
          <w:color w:val="000000"/>
        </w:rPr>
        <w:t>-</w:t>
      </w:r>
      <w:r w:rsidRPr="00C3327C">
        <w:rPr>
          <w:color w:val="000000"/>
        </w:rPr>
        <w:t xml:space="preserve">2027 годов рассчитан с учетом Правил установления величины прожиточного минимума на душу населения </w:t>
      </w:r>
      <w:r w:rsidR="00C15B26" w:rsidRPr="00C3327C">
        <w:rPr>
          <w:color w:val="000000"/>
        </w:rPr>
        <w:br/>
      </w:r>
      <w:r w:rsidRPr="00C3327C">
        <w:rPr>
          <w:color w:val="000000"/>
        </w:rPr>
        <w:t xml:space="preserve">и по основным социально-демографическим группам населения в субъектах Российской Федерации на очередной год, утвержденных </w:t>
      </w:r>
      <w:r w:rsidR="00C15B26" w:rsidRPr="00C3327C">
        <w:rPr>
          <w:color w:val="000000"/>
        </w:rPr>
        <w:t>п</w:t>
      </w:r>
      <w:r w:rsidRPr="00C3327C">
        <w:rPr>
          <w:color w:val="000000"/>
        </w:rPr>
        <w:t>остановлением Правительства Российской Федерации от 26 июня 2021 года №</w:t>
      </w:r>
      <w:r w:rsidR="00C15B26" w:rsidRPr="00C3327C">
        <w:rPr>
          <w:color w:val="000000"/>
        </w:rPr>
        <w:t> </w:t>
      </w:r>
      <w:r w:rsidRPr="00C3327C">
        <w:rPr>
          <w:color w:val="000000"/>
        </w:rPr>
        <w:t xml:space="preserve">1022, </w:t>
      </w:r>
      <w:r w:rsidR="00C15B26" w:rsidRPr="00C3327C">
        <w:rPr>
          <w:color w:val="000000"/>
        </w:rPr>
        <w:br/>
      </w:r>
      <w:r w:rsidRPr="00C3327C">
        <w:rPr>
          <w:color w:val="000000"/>
        </w:rPr>
        <w:t xml:space="preserve">с применением коэффициента региональной дифференциации 0,94 </w:t>
      </w:r>
      <w:r w:rsidR="00C15B26" w:rsidRPr="00C3327C">
        <w:rPr>
          <w:color w:val="000000"/>
        </w:rPr>
        <w:br/>
      </w:r>
      <w:r w:rsidRPr="00C3327C">
        <w:rPr>
          <w:color w:val="000000"/>
        </w:rPr>
        <w:t>к</w:t>
      </w:r>
      <w:r w:rsidR="00C15B26" w:rsidRPr="00C3327C">
        <w:rPr>
          <w:color w:val="000000"/>
        </w:rPr>
        <w:t xml:space="preserve"> </w:t>
      </w:r>
      <w:r w:rsidRPr="00C3327C">
        <w:rPr>
          <w:color w:val="000000"/>
        </w:rPr>
        <w:t>прогнозным показателям величины прожиточного минимума</w:t>
      </w:r>
      <w:proofErr w:type="gramEnd"/>
      <w:r w:rsidRPr="00C3327C">
        <w:rPr>
          <w:color w:val="000000"/>
        </w:rPr>
        <w:t xml:space="preserve"> на территории Российской Федерации и рекомендаций Министерства труда и социальной защиты Российской Федерации по установлению прогнозных величин прожиточного минимума в регионе, изложенных письмом от 21 мая 2024 года </w:t>
      </w:r>
      <w:r w:rsidRPr="00C3327C">
        <w:rPr>
          <w:color w:val="000000"/>
        </w:rPr>
        <w:br/>
        <w:t>№ 27-3/10/В-8120.</w:t>
      </w:r>
    </w:p>
    <w:p w:rsidR="00FA54E9" w:rsidRPr="00C3327C" w:rsidRDefault="00FA54E9" w:rsidP="00942207">
      <w:pPr>
        <w:pStyle w:val="11"/>
        <w:spacing w:line="240" w:lineRule="auto"/>
        <w:ind w:firstLine="709"/>
        <w:jc w:val="both"/>
      </w:pPr>
    </w:p>
    <w:p w:rsidR="00FA54E9" w:rsidRPr="00C3327C" w:rsidRDefault="002B21FB" w:rsidP="00942207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 w:themeColor="text1"/>
          <w:sz w:val="28"/>
          <w:szCs w:val="28"/>
        </w:rPr>
        <w:t>Труд и занятость</w:t>
      </w:r>
    </w:p>
    <w:p w:rsidR="00FA54E9" w:rsidRPr="00C3327C" w:rsidRDefault="00FA54E9" w:rsidP="0094220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В сфере занятости населения при прогнозировании социально- экономических показателей трудовых ресурсов учтены внутренние и внешние факторы воздействия на экономическое развитие.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При расчете показателей прогнозируются положительные кадровые изменения за счет привлечения молодых специалистов через программы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целевому направлению, оказание государственной поддержки молодым специалистам, работающим в сельской местности.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Снижение данного показателя может быть обусловлено: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значительным сокращением численности трудовых ресурсов за счет мобилизации и трудовой миграцией квалифицированных кадров во всех отраслях экономики; 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риском продолжения (длительности) боевых действий;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недостатком оборотных средств у хозяйствующих субъектов;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низким уровнем производительности труда в отраслях народного хозяйства ввиду устаревших основных фондов.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Данные факторы негативно отражаются на развитии экономики в целом </w:t>
      </w:r>
      <w:r w:rsidR="0099030D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и приводят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низкой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загрузке производственных мощностей, возникновению задолженности по заработной плате, </w:t>
      </w:r>
      <w:proofErr w:type="spell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неукомплектованности</w:t>
      </w:r>
      <w:proofErr w:type="spell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штатной численности.</w:t>
      </w:r>
    </w:p>
    <w:p w:rsidR="00FA54E9" w:rsidRPr="00C3327C" w:rsidRDefault="002B21FB" w:rsidP="00942207">
      <w:pPr>
        <w:spacing w:after="0" w:line="240" w:lineRule="auto"/>
        <w:ind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Несмотря на отмеченные риски, в 2025</w:t>
      </w:r>
      <w:r w:rsidR="0099030D" w:rsidRP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2027 гг. в Донецкой Народной Республике прогнозируется увеличение численности занятых во всех сферах экономики, в основном за счет притока инвестиций в регион.</w:t>
      </w:r>
    </w:p>
    <w:p w:rsidR="00FA54E9" w:rsidRPr="00C3327C" w:rsidRDefault="002B21FB" w:rsidP="00942207">
      <w:pPr>
        <w:spacing w:after="0" w:line="240" w:lineRule="auto"/>
        <w:ind w:firstLine="709"/>
        <w:jc w:val="both"/>
        <w:sectPr w:rsidR="00FA54E9" w:rsidRPr="00C3327C" w:rsidSect="00BE7FB9">
          <w:headerReference w:type="default" r:id="rId10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 w:charSpace="8192"/>
        </w:sectPr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Прогноз размера заработной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платы сформирован с учетом сценарных условий функционирования экономики Российской Федерации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и основных параметров прогноза социально-экономического развития Российской Федерации.</w:t>
      </w:r>
      <w:r w:rsidRPr="00C3327C">
        <w:br w:type="page"/>
      </w:r>
    </w:p>
    <w:p w:rsidR="00FA54E9" w:rsidRPr="00C3327C" w:rsidRDefault="00FA54E9">
      <w:pPr>
        <w:rPr>
          <w:sz w:val="2"/>
          <w:szCs w:val="2"/>
        </w:rPr>
      </w:pPr>
    </w:p>
    <w:p w:rsidR="00FA54E9" w:rsidRPr="00C3327C" w:rsidRDefault="002B21FB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Основные целевые показатели прогноза социально-экономического развития Донецкой Народной Республики</w:t>
      </w:r>
    </w:p>
    <w:p w:rsidR="00FA54E9" w:rsidRPr="00C3327C" w:rsidRDefault="002B21FB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 по консервативному и базовому вариантам</w:t>
      </w:r>
    </w:p>
    <w:p w:rsidR="00FA54E9" w:rsidRPr="00C3327C" w:rsidRDefault="00FA54E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FA54E9" w:rsidRPr="00C3327C" w:rsidRDefault="00FA54E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68"/>
        <w:gridCol w:w="1907"/>
        <w:gridCol w:w="1423"/>
        <w:gridCol w:w="1145"/>
        <w:gridCol w:w="1125"/>
        <w:gridCol w:w="1354"/>
        <w:gridCol w:w="1370"/>
        <w:gridCol w:w="1226"/>
        <w:gridCol w:w="1351"/>
        <w:gridCol w:w="1343"/>
        <w:gridCol w:w="1383"/>
        <w:gridCol w:w="1307"/>
      </w:tblGrid>
      <w:tr w:rsidR="00FA54E9" w:rsidRPr="00C3327C" w:rsidTr="00A27820">
        <w:trPr>
          <w:trHeight w:val="205"/>
          <w:tblHeader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FA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Показатели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 w:rsidP="00ED2CB4">
            <w:pPr>
              <w:widowControl w:val="0"/>
              <w:spacing w:after="0" w:line="240" w:lineRule="auto"/>
              <w:ind w:left="-135" w:right="-1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показателя</w:t>
            </w:r>
          </w:p>
        </w:tc>
        <w:tc>
          <w:tcPr>
            <w:tcW w:w="79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</w:tr>
      <w:tr w:rsidR="00FA54E9" w:rsidRPr="00C3327C" w:rsidTr="00A27820">
        <w:trPr>
          <w:trHeight w:val="205"/>
          <w:tblHeader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FA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A54E9" w:rsidRPr="00C3327C" w:rsidRDefault="00FA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FA54E9" w:rsidRPr="00C3327C" w:rsidRDefault="00FA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FA54E9" w:rsidRPr="00C3327C" w:rsidTr="00A27820">
        <w:trPr>
          <w:trHeight w:val="205"/>
          <w:tblHeader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FA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FA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FA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FA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FA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FA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proofErr w:type="spellStart"/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консерва-тивный</w:t>
            </w:r>
            <w:proofErr w:type="spellEnd"/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proofErr w:type="spellStart"/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proofErr w:type="spellStart"/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</w:tr>
    </w:tbl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p w:rsidR="00FA54E9" w:rsidRPr="00C3327C" w:rsidRDefault="00FA54E9">
      <w:pPr>
        <w:spacing w:after="0" w:line="240" w:lineRule="auto"/>
        <w:rPr>
          <w:sz w:val="2"/>
          <w:szCs w:val="2"/>
        </w:rPr>
      </w:pP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65"/>
        <w:gridCol w:w="1914"/>
        <w:gridCol w:w="1425"/>
        <w:gridCol w:w="1139"/>
        <w:gridCol w:w="1122"/>
        <w:gridCol w:w="1357"/>
        <w:gridCol w:w="1370"/>
        <w:gridCol w:w="1226"/>
        <w:gridCol w:w="1354"/>
        <w:gridCol w:w="1340"/>
        <w:gridCol w:w="1386"/>
        <w:gridCol w:w="1304"/>
      </w:tblGrid>
      <w:tr w:rsidR="00FA54E9" w:rsidRPr="00C3327C" w:rsidTr="00A27820">
        <w:trPr>
          <w:trHeight w:val="205"/>
          <w:tblHeader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ED2C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2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A54E9" w:rsidRPr="00C3327C" w:rsidTr="00A27820">
        <w:trPr>
          <w:trHeight w:val="279"/>
        </w:trPr>
        <w:tc>
          <w:tcPr>
            <w:tcW w:w="1560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Население</w:t>
            </w:r>
          </w:p>
        </w:tc>
      </w:tr>
      <w:tr w:rsidR="00FA54E9" w:rsidRPr="00C3327C" w:rsidTr="00A27820">
        <w:trPr>
          <w:trHeight w:val="55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 w:rsidP="00ED2CB4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населения </w:t>
            </w:r>
          </w:p>
          <w:p w:rsidR="00FA54E9" w:rsidRPr="00C3327C" w:rsidRDefault="002B21FB" w:rsidP="00ED2CB4">
            <w:pPr>
              <w:widowControl w:val="0"/>
              <w:spacing w:after="0" w:line="240" w:lineRule="auto"/>
              <w:ind w:right="-145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среднегодовом исчислении)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2 192,3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2 162,9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2 150,1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2 152,1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2 152,1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2 154,2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2 154,2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2 156,3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2 156,3</w:t>
            </w:r>
          </w:p>
        </w:tc>
      </w:tr>
      <w:tr w:rsidR="00FA54E9" w:rsidRPr="00C3327C" w:rsidTr="00A27820">
        <w:trPr>
          <w:trHeight w:val="37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Ожидаемая</w:t>
            </w:r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продолжитель-ность</w:t>
            </w:r>
            <w:proofErr w:type="spell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жизни при рождении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лет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67,5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67,80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67,90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68,13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68,13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68,50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68,50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68,9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68,9</w:t>
            </w:r>
          </w:p>
        </w:tc>
      </w:tr>
      <w:tr w:rsidR="00FA54E9" w:rsidRPr="00C3327C" w:rsidTr="00A27820">
        <w:trPr>
          <w:trHeight w:val="7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коэффициент рождаемости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родившихся живыми на 1000 человек населения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2,4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2,6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2,6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2,6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2,6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2,8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2,8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2,8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2,8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Суммарный коэффициент рождаемости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детей на 1 женщину </w:t>
            </w:r>
          </w:p>
        </w:tc>
        <w:tc>
          <w:tcPr>
            <w:tcW w:w="1139" w:type="dxa"/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0,400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0,400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0,420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0,420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0,450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0,450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0,460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0,460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коэффициент смертности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умерших на 1000 человек населения 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16,7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14,1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14,0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14,0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14,0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14,0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14,0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13,8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13,8</w:t>
            </w:r>
          </w:p>
        </w:tc>
      </w:tr>
      <w:tr w:rsidR="00FA54E9" w:rsidRPr="00C3327C" w:rsidTr="00A27820">
        <w:trPr>
          <w:trHeight w:val="304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Коэффициент естественного прироста населения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1000 человек населения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-14,3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-11,5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-11,4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-11,4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-11,4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-11,2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-11,2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-11,0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-11,0</w:t>
            </w:r>
          </w:p>
        </w:tc>
      </w:tr>
      <w:tr w:rsidR="00FA54E9" w:rsidRPr="00C3327C" w:rsidTr="00A27820">
        <w:trPr>
          <w:trHeight w:val="46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Миграционный прирост (убыль)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ED2CB4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cs="Calibri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cs="Calibri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cs="Calibri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cs="Calibri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cs="Calibri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cs="Calibri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cs="Calibri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cs="Calibri"/>
                <w:color w:val="000000"/>
                <w:sz w:val="20"/>
                <w:szCs w:val="20"/>
              </w:rPr>
              <w:t>─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cs="Calibri"/>
                <w:color w:val="000000"/>
                <w:sz w:val="20"/>
                <w:szCs w:val="20"/>
              </w:rPr>
              <w:t>─</w:t>
            </w:r>
          </w:p>
        </w:tc>
      </w:tr>
      <w:tr w:rsidR="00FA54E9" w:rsidRPr="00C3327C" w:rsidTr="00A27820">
        <w:trPr>
          <w:trHeight w:val="248"/>
        </w:trPr>
        <w:tc>
          <w:tcPr>
            <w:tcW w:w="1560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  <w14:numSpacing w14:val="proportional"/>
              </w:rPr>
              <w:t>2. Валовой региональный продукт</w:t>
            </w:r>
          </w:p>
        </w:tc>
      </w:tr>
      <w:tr w:rsidR="00FA54E9" w:rsidRPr="00C3327C" w:rsidTr="00A27820">
        <w:trPr>
          <w:trHeight w:val="2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Валовой региональный продукт </w:t>
            </w:r>
          </w:p>
          <w:p w:rsidR="00FA54E9" w:rsidRPr="00C3327C" w:rsidRDefault="00FA5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ED2CB4" w:rsidP="00ED2CB4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158 351,0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left="-137" w:right="-24" w:firstLine="137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196 974,7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237 458,1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263 703,96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266 688,10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286 136,33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290 266,70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303 165,37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308 736,60</w:t>
            </w:r>
          </w:p>
        </w:tc>
      </w:tr>
      <w:tr w:rsidR="00FA54E9" w:rsidRPr="00C3327C" w:rsidTr="00A27820">
        <w:trPr>
          <w:trHeight w:val="260"/>
        </w:trPr>
        <w:tc>
          <w:tcPr>
            <w:tcW w:w="1560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  <w14:numSpacing w14:val="proportional"/>
              </w:rPr>
              <w:t>3. Промышленное производство</w:t>
            </w:r>
          </w:p>
        </w:tc>
      </w:tr>
      <w:tr w:rsidR="00FA54E9" w:rsidRPr="00C3327C" w:rsidTr="00A27820">
        <w:trPr>
          <w:trHeight w:val="7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hAnsi="Times New Roman" w:cs="Times New Roman"/>
                <w:color w:val="00000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ED2CB4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245 947,8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left="-92" w:right="-24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134 188,0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140 582,7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146 492,9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146 553,1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152 271,7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153 384,1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157 998,6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hAnsi="Times New Roman" w:cs="Times New Roman"/>
                <w:color w:val="000000"/>
              </w:rPr>
              <w:t xml:space="preserve">Индекс промышленного производства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hAnsi="Times New Roman" w:cs="Times New Roman"/>
                <w:color w:val="000000"/>
              </w:rPr>
              <w:t xml:space="preserve">% к </w:t>
            </w:r>
            <w:proofErr w:type="spellStart"/>
            <w:proofErr w:type="gramStart"/>
            <w:r w:rsidRPr="00C3327C">
              <w:rPr>
                <w:rFonts w:ascii="Times New Roman" w:hAnsi="Times New Roman" w:cs="Times New Roman"/>
                <w:color w:val="000000"/>
              </w:rPr>
              <w:t>предыду-щему</w:t>
            </w:r>
            <w:proofErr w:type="spellEnd"/>
            <w:proofErr w:type="gramEnd"/>
            <w:r w:rsidRPr="00C3327C">
              <w:rPr>
                <w:rFonts w:ascii="Times New Roman" w:hAnsi="Times New Roman" w:cs="Times New Roman"/>
                <w:color w:val="000000"/>
              </w:rPr>
              <w:t xml:space="preserve"> году в </w:t>
            </w:r>
            <w:proofErr w:type="spellStart"/>
            <w:r w:rsidRPr="00C3327C">
              <w:rPr>
                <w:rFonts w:ascii="Times New Roman" w:hAnsi="Times New Roman" w:cs="Times New Roman"/>
                <w:color w:val="000000"/>
              </w:rPr>
              <w:t>сопоста-вимых</w:t>
            </w:r>
            <w:proofErr w:type="spellEnd"/>
            <w:r w:rsidRPr="00C3327C">
              <w:rPr>
                <w:rFonts w:ascii="Times New Roman" w:hAnsi="Times New Roman" w:cs="Times New Roman"/>
                <w:color w:val="000000"/>
              </w:rPr>
              <w:t xml:space="preserve"> ценах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94,0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</w:tr>
      <w:tr w:rsidR="00FA54E9" w:rsidRPr="00C3327C" w:rsidTr="00A27820">
        <w:trPr>
          <w:trHeight w:val="236"/>
        </w:trPr>
        <w:tc>
          <w:tcPr>
            <w:tcW w:w="1560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  <w14:numSpacing w14:val="proportional"/>
              </w:rPr>
              <w:t>4. Сельское хозяйство</w:t>
            </w:r>
          </w:p>
        </w:tc>
      </w:tr>
      <w:tr w:rsidR="00FA54E9" w:rsidRPr="00C3327C" w:rsidTr="00A27820">
        <w:trPr>
          <w:trHeight w:val="2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ED2CB4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29 151,5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28 395,6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21 428,3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23 488,1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23 355,1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24 889,4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24 678,5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26 248,0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26 051,7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производства продукции сельского хозяйства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hAnsi="Times New Roman" w:cs="Times New Roman"/>
                <w:color w:val="000000"/>
              </w:rPr>
              <w:t xml:space="preserve">% к </w:t>
            </w:r>
            <w:proofErr w:type="spellStart"/>
            <w:proofErr w:type="gramStart"/>
            <w:r w:rsidRPr="00C3327C">
              <w:rPr>
                <w:rFonts w:ascii="Times New Roman" w:hAnsi="Times New Roman" w:cs="Times New Roman"/>
                <w:color w:val="000000"/>
              </w:rPr>
              <w:t>предыду-щему</w:t>
            </w:r>
            <w:proofErr w:type="spellEnd"/>
            <w:proofErr w:type="gramEnd"/>
            <w:r w:rsidRPr="00C3327C">
              <w:rPr>
                <w:rFonts w:ascii="Times New Roman" w:hAnsi="Times New Roman" w:cs="Times New Roman"/>
                <w:color w:val="000000"/>
              </w:rPr>
              <w:t xml:space="preserve"> году в </w:t>
            </w:r>
            <w:proofErr w:type="spellStart"/>
            <w:r w:rsidRPr="00C3327C">
              <w:rPr>
                <w:rFonts w:ascii="Times New Roman" w:hAnsi="Times New Roman" w:cs="Times New Roman"/>
                <w:color w:val="000000"/>
              </w:rPr>
              <w:t>сопоста-вимых</w:t>
            </w:r>
            <w:proofErr w:type="spellEnd"/>
            <w:r w:rsidRPr="00C3327C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115,3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97,4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75,5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109,6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99,4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106,0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105,7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105,5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105,6</w:t>
            </w:r>
          </w:p>
        </w:tc>
      </w:tr>
      <w:tr w:rsidR="00FA54E9" w:rsidRPr="00C3327C" w:rsidTr="00A27820">
        <w:trPr>
          <w:trHeight w:val="229"/>
        </w:trPr>
        <w:tc>
          <w:tcPr>
            <w:tcW w:w="1560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  <w14:numSpacing w14:val="proportional"/>
              </w:rPr>
              <w:t>5. Строительство</w:t>
            </w:r>
          </w:p>
        </w:tc>
      </w:tr>
      <w:tr w:rsidR="00FA54E9" w:rsidRPr="00C3327C" w:rsidTr="00A27820">
        <w:trPr>
          <w:trHeight w:val="304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right="-145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работ, выполненных по виду деятельности «Строительство»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ценах </w:t>
            </w:r>
            <w:proofErr w:type="spellStart"/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соответст-вующих</w:t>
            </w:r>
            <w:proofErr w:type="spellEnd"/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лет; млн</w:t>
            </w:r>
            <w:r w:rsidR="00ED2CB4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5 391,4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22 284,7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22 663,6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22 886,4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23 094,2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23 573,0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23 602,3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24 327,4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5.2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right="-145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 работ, выполненных по виду деятельности «Строительство»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hAnsi="Times New Roman" w:cs="Times New Roman"/>
                <w:color w:val="000000"/>
              </w:rPr>
              <w:t xml:space="preserve">% к </w:t>
            </w:r>
            <w:proofErr w:type="spellStart"/>
            <w:proofErr w:type="gramStart"/>
            <w:r w:rsidRPr="00C3327C">
              <w:rPr>
                <w:rFonts w:ascii="Times New Roman" w:hAnsi="Times New Roman" w:cs="Times New Roman"/>
                <w:color w:val="000000"/>
              </w:rPr>
              <w:t>предыду-щему</w:t>
            </w:r>
            <w:proofErr w:type="spellEnd"/>
            <w:proofErr w:type="gramEnd"/>
            <w:r w:rsidRPr="00C3327C">
              <w:rPr>
                <w:rFonts w:ascii="Times New Roman" w:hAnsi="Times New Roman" w:cs="Times New Roman"/>
                <w:color w:val="000000"/>
              </w:rPr>
              <w:t xml:space="preserve"> году в </w:t>
            </w:r>
            <w:proofErr w:type="spellStart"/>
            <w:r w:rsidRPr="00C3327C">
              <w:rPr>
                <w:rFonts w:ascii="Times New Roman" w:hAnsi="Times New Roman" w:cs="Times New Roman"/>
                <w:color w:val="000000"/>
              </w:rPr>
              <w:t>сопоста-вимых</w:t>
            </w:r>
            <w:proofErr w:type="spellEnd"/>
            <w:r w:rsidRPr="00C3327C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125,6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408,4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101,2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101,7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102,7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101,9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103,0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102,2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103,2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right="-145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Индекс-дефлятор по виду деятельности «Строительство»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110,7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105,8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105,0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105,9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105,6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105,3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104,3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104,5</w:t>
            </w:r>
          </w:p>
        </w:tc>
      </w:tr>
      <w:tr w:rsidR="00FA54E9" w:rsidRPr="00C3327C" w:rsidTr="00A27820">
        <w:trPr>
          <w:trHeight w:val="330"/>
        </w:trPr>
        <w:tc>
          <w:tcPr>
            <w:tcW w:w="1560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  <w14:numSpacing w14:val="proportional"/>
              </w:rPr>
              <w:t>6. Сфера внутренней торговли и бытовые услуги населению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right="-70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потребительских цен на товары и услуги, на конец года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left="-64" w:right="-78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к декабрю предыдущего года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122,2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112,1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107,2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105,6 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104,5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104,0</w:t>
            </w:r>
          </w:p>
        </w:tc>
      </w:tr>
      <w:tr w:rsidR="00FA54E9" w:rsidRPr="00C3327C" w:rsidTr="00A27820">
        <w:trPr>
          <w:trHeight w:val="2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Оборот розничной торговли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ED2CB4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95 338,0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left="-92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137 691,2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141 821,9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144 575,7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144 658,4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147 467,3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147 551,5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151 891,3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hAnsi="Times New Roman" w:cs="Times New Roman"/>
                <w:color w:val="000000"/>
              </w:rPr>
              <w:t xml:space="preserve">% к </w:t>
            </w:r>
            <w:proofErr w:type="spellStart"/>
            <w:proofErr w:type="gramStart"/>
            <w:r w:rsidRPr="00C3327C">
              <w:rPr>
                <w:rFonts w:ascii="Times New Roman" w:hAnsi="Times New Roman" w:cs="Times New Roman"/>
                <w:color w:val="000000"/>
              </w:rPr>
              <w:t>предыду-щему</w:t>
            </w:r>
            <w:proofErr w:type="spellEnd"/>
            <w:proofErr w:type="gramEnd"/>
            <w:r w:rsidRPr="00C3327C">
              <w:rPr>
                <w:rFonts w:ascii="Times New Roman" w:hAnsi="Times New Roman" w:cs="Times New Roman"/>
                <w:color w:val="000000"/>
              </w:rPr>
              <w:t xml:space="preserve"> году в </w:t>
            </w:r>
            <w:proofErr w:type="spellStart"/>
            <w:r w:rsidRPr="00C3327C">
              <w:rPr>
                <w:rFonts w:ascii="Times New Roman" w:hAnsi="Times New Roman" w:cs="Times New Roman"/>
                <w:color w:val="000000"/>
              </w:rPr>
              <w:t>сопоста-вимых</w:t>
            </w:r>
            <w:proofErr w:type="spellEnd"/>
            <w:r w:rsidRPr="00C3327C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104,6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105,4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112,6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99,31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101,7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99,54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99,97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99,12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100,05</w:t>
            </w:r>
          </w:p>
        </w:tc>
      </w:tr>
      <w:tr w:rsidR="00FA54E9" w:rsidRPr="00C3327C" w:rsidTr="00A27820">
        <w:trPr>
          <w:trHeight w:val="2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Индекс-дефлятор оборота розничной торговли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124,6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97,7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103,27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102,48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102,0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102,90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103,0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103,39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103,38</w:t>
            </w:r>
          </w:p>
        </w:tc>
      </w:tr>
      <w:tr w:rsidR="00FA54E9" w:rsidRPr="00C3327C" w:rsidTr="00A27820">
        <w:trPr>
          <w:trHeight w:val="2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ED2CB4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47,8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149,4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152,4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153,9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154,7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157,0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157,0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160,1</w:t>
            </w:r>
          </w:p>
        </w:tc>
      </w:tr>
      <w:tr w:rsidR="00FA54E9" w:rsidRPr="00C3327C" w:rsidTr="00A27820">
        <w:trPr>
          <w:trHeight w:val="304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физического объема платных услуг населению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hAnsi="Times New Roman" w:cs="Times New Roman"/>
                <w:color w:val="000000"/>
              </w:rPr>
              <w:t xml:space="preserve">% к </w:t>
            </w:r>
            <w:proofErr w:type="spellStart"/>
            <w:proofErr w:type="gramStart"/>
            <w:r w:rsidRPr="00C3327C">
              <w:rPr>
                <w:rFonts w:ascii="Times New Roman" w:hAnsi="Times New Roman" w:cs="Times New Roman"/>
                <w:color w:val="000000"/>
              </w:rPr>
              <w:t>предыду-щему</w:t>
            </w:r>
            <w:proofErr w:type="spellEnd"/>
            <w:proofErr w:type="gramEnd"/>
            <w:r w:rsidRPr="00C3327C">
              <w:rPr>
                <w:rFonts w:ascii="Times New Roman" w:hAnsi="Times New Roman" w:cs="Times New Roman"/>
                <w:color w:val="000000"/>
              </w:rPr>
              <w:t xml:space="preserve"> году в </w:t>
            </w:r>
            <w:proofErr w:type="spellStart"/>
            <w:r w:rsidRPr="00C3327C">
              <w:rPr>
                <w:rFonts w:ascii="Times New Roman" w:hAnsi="Times New Roman" w:cs="Times New Roman"/>
                <w:color w:val="000000"/>
              </w:rPr>
              <w:t>сопоста-вимых</w:t>
            </w:r>
            <w:proofErr w:type="spellEnd"/>
            <w:r w:rsidRPr="00C3327C">
              <w:rPr>
                <w:rFonts w:ascii="Times New Roman" w:hAnsi="Times New Roman" w:cs="Times New Roman"/>
                <w:color w:val="000000"/>
              </w:rPr>
              <w:t xml:space="preserve"> ценах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269,6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96,53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95,6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96,57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97,05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97,81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97,02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97,70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6.7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Индекс-дефлятор объема платных услуг населению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110,4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108,8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106,7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106,67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104,6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104,3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104,37</w:t>
            </w:r>
          </w:p>
        </w:tc>
      </w:tr>
      <w:tr w:rsidR="00FA54E9" w:rsidRPr="00C3327C" w:rsidTr="00A27820">
        <w:trPr>
          <w:trHeight w:val="255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  <w14:numSpacing w14:val="proportional"/>
              </w:rPr>
              <w:t xml:space="preserve">7. Малое и среднее предпринимательство, включая </w:t>
            </w:r>
            <w:proofErr w:type="spellStart"/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  <w14:numSpacing w14:val="proportional"/>
              </w:rPr>
              <w:t>микропредприятия</w:t>
            </w:r>
            <w:proofErr w:type="spellEnd"/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  <w14:numSpacing w14:val="proportional"/>
              </w:rPr>
              <w:t xml:space="preserve"> 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right="-3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микропредприя-тия</w:t>
            </w:r>
            <w:proofErr w:type="spell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конец года)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49 036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49 526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50 022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54 557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50 272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55 539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50 523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56 538</w:t>
            </w:r>
          </w:p>
        </w:tc>
      </w:tr>
      <w:tr w:rsidR="00FA54E9" w:rsidRPr="00C3327C" w:rsidTr="00A27820">
        <w:trPr>
          <w:trHeight w:val="255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  <w14:numSpacing w14:val="proportional"/>
              </w:rPr>
              <w:t xml:space="preserve">8. Инвестиции </w:t>
            </w:r>
          </w:p>
        </w:tc>
      </w:tr>
      <w:tr w:rsidR="00FA54E9" w:rsidRPr="00C3327C" w:rsidTr="00A27820">
        <w:trPr>
          <w:trHeight w:val="2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 w:rsidP="00FC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3D05AA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25 732,3 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х 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31 446,2 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36 292,2 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39 244,9 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41 724,6 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46 936,8 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47 970,1 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56 136,5 </w:t>
            </w:r>
          </w:p>
        </w:tc>
      </w:tr>
      <w:tr w:rsidR="00FA54E9" w:rsidRPr="00C3327C" w:rsidTr="00A27820">
        <w:trPr>
          <w:trHeight w:val="255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  <w14:numSpacing w14:val="proportional"/>
              </w:rPr>
              <w:t xml:space="preserve">9. Денежные доходы населения </w:t>
            </w:r>
          </w:p>
        </w:tc>
      </w:tr>
      <w:tr w:rsidR="00FA54E9" w:rsidRPr="00C3327C" w:rsidTr="00A27820">
        <w:trPr>
          <w:trHeight w:val="10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Прожиточный минимум в среднем на душу населения (в среднем за год), </w:t>
            </w:r>
            <w:r w:rsidR="003D05AA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основным социально-</w:t>
            </w:r>
            <w:proofErr w:type="spell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демографичес</w:t>
            </w:r>
            <w:proofErr w:type="spell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-ким группам населения: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руб./мес.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11 213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14 526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16 669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16 669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18 499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18 771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19 832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20 431</w:t>
            </w:r>
          </w:p>
        </w:tc>
      </w:tr>
      <w:tr w:rsidR="00FA54E9" w:rsidRPr="00C3327C" w:rsidTr="00A27820">
        <w:trPr>
          <w:trHeight w:val="2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left="-15" w:right="-117" w:hanging="127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right="-145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трудоспособного населения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руб./мес.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12 222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15 833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18 169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18 169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20 164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20 460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21 617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22 270</w:t>
            </w:r>
          </w:p>
        </w:tc>
      </w:tr>
      <w:tr w:rsidR="00FA54E9" w:rsidRPr="00C3327C" w:rsidTr="00A27820">
        <w:trPr>
          <w:trHeight w:val="2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left="-15" w:right="-117" w:hanging="127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9.1.2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пенсионеров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руб./мес.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9 643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12 492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14 335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14 335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15 909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16 143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17 056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17 571</w:t>
            </w:r>
          </w:p>
        </w:tc>
      </w:tr>
      <w:tr w:rsidR="00FA54E9" w:rsidRPr="00C3327C" w:rsidTr="00A27820">
        <w:trPr>
          <w:trHeight w:val="2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ind w:left="-15" w:right="-117" w:hanging="127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9.1.3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детей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руб./мес.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10 877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14 090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16 169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16 169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17 944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18 208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19 237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19 818</w:t>
            </w:r>
          </w:p>
        </w:tc>
      </w:tr>
      <w:tr w:rsidR="00FA54E9" w:rsidRPr="00C3327C" w:rsidTr="00A27820">
        <w:trPr>
          <w:trHeight w:val="255"/>
        </w:trPr>
        <w:tc>
          <w:tcPr>
            <w:tcW w:w="15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10. Труд и занятость </w:t>
            </w:r>
          </w:p>
        </w:tc>
      </w:tr>
      <w:tr w:rsidR="00FA54E9" w:rsidRPr="00C3327C" w:rsidTr="00A27820">
        <w:trPr>
          <w:trHeight w:val="2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 w:rsidP="003D05AA">
            <w:pPr>
              <w:widowControl w:val="0"/>
              <w:spacing w:after="0" w:line="240" w:lineRule="auto"/>
            </w:pPr>
            <w:hyperlink r:id="rId11" w:anchor="7D20K3" w:history="1">
              <w:r w:rsidRPr="00C3327C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Численность </w:t>
              </w:r>
              <w:proofErr w:type="gramStart"/>
              <w:r w:rsidRPr="00C3327C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занятых</w:t>
              </w:r>
              <w:proofErr w:type="gramEnd"/>
              <w:r w:rsidRPr="00C3327C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в экономике </w:t>
              </w:r>
            </w:hyperlink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 w:rsidP="003D05AA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тыс.</w:t>
            </w:r>
            <w:r w:rsidR="003D05AA"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 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чел.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344,6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374,6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378,3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393,3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385,9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413,0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393,6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433,7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 w:rsidP="003D05AA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безработных, </w:t>
            </w:r>
            <w:proofErr w:type="spellStart"/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</w:t>
            </w:r>
            <w:proofErr w:type="spell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-ванных</w:t>
            </w:r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органах 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службы занятости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 w:rsidP="003D05AA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lastRenderedPageBreak/>
              <w:t>тыс.</w:t>
            </w:r>
            <w:r w:rsidR="003D05AA"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 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чел.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─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0,1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0,3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0,3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0,3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0,4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0,3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10.3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Номинальная начисленная среднемесячная заработная плата работников организаций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 w:rsidP="003D05AA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руб.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28 012,0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54 404,0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59 635,0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60 788,0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66 366,0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67 927,0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75 463,0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77 552,0</w:t>
            </w:r>
          </w:p>
        </w:tc>
      </w:tr>
      <w:tr w:rsidR="00FA54E9" w:rsidRPr="00C3327C" w:rsidTr="00A27820">
        <w:trPr>
          <w:trHeight w:val="587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Темп роста номинальной начисленной среднемесячной заработной платы работников организаций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 w:rsidP="003D05AA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 xml:space="preserve">% </w:t>
            </w:r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г</w:t>
            </w:r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/г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143,8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142,9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135,9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109,6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111,7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111,3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111,7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113,7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114,2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</w:t>
            </w:r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производитель-</w:t>
            </w:r>
            <w:proofErr w:type="spell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труда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% к </w:t>
            </w:r>
            <w:proofErr w:type="spellStart"/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предыду-щему</w:t>
            </w:r>
            <w:proofErr w:type="spellEnd"/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101,4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109,7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109,72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109,56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104,4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104,28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101,62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101,84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100,28</w:t>
            </w:r>
          </w:p>
        </w:tc>
      </w:tr>
      <w:tr w:rsidR="00FA54E9" w:rsidRPr="00C3327C" w:rsidTr="00A27820">
        <w:trPr>
          <w:trHeight w:val="57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10.6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заработной платы работников организаций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3D05AA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лн</w:t>
            </w: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B21FB"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115 841,9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244 556,9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270 719,0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286 895,0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307 327,7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336 646,2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356 426,8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403 611,6</w:t>
            </w:r>
          </w:p>
        </w:tc>
      </w:tr>
      <w:tr w:rsidR="00FA54E9" w:rsidRPr="00C3327C" w:rsidTr="00A27820">
        <w:trPr>
          <w:trHeight w:val="5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10.7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Темп роста фонда заработной платы работников организаций 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gramStart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 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146,5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148,6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142,1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110,7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117,3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113,5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117,3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116,0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E9" w:rsidRPr="00C3327C" w:rsidRDefault="002B21FB">
            <w:pPr>
              <w:widowControl w:val="0"/>
              <w:spacing w:after="0" w:line="240" w:lineRule="auto"/>
              <w:jc w:val="right"/>
            </w:pPr>
            <w:r w:rsidRPr="00C3327C">
              <w:rPr>
                <w:rFonts w:ascii="Times New Roman" w:eastAsia="Times New Roman" w:hAnsi="Times New Roman" w:cs="Times New Roman"/>
                <w:color w:val="000000"/>
                <w:lang w:eastAsia="ru-RU"/>
                <w14:numSpacing w14:val="proportional"/>
              </w:rPr>
              <w:t>119,9</w:t>
            </w:r>
          </w:p>
        </w:tc>
      </w:tr>
    </w:tbl>
    <w:p w:rsidR="00FA54E9" w:rsidRPr="00C3327C" w:rsidRDefault="00FA54E9"/>
    <w:p w:rsidR="00FA54E9" w:rsidRPr="00C3327C" w:rsidRDefault="002B21F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27C">
        <w:rPr>
          <w:rFonts w:ascii="Times New Roman" w:hAnsi="Times New Roman" w:cs="Times New Roman"/>
          <w:color w:val="000000"/>
          <w:sz w:val="24"/>
          <w:szCs w:val="24"/>
        </w:rPr>
        <w:t xml:space="preserve">х – официальная статистическая информация по формам федерального статистического наблюдения не подлежит распространению, публикации </w:t>
      </w:r>
      <w:r w:rsidR="003D05AA" w:rsidRPr="00C332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327C">
        <w:rPr>
          <w:rFonts w:ascii="Times New Roman" w:hAnsi="Times New Roman" w:cs="Times New Roman"/>
          <w:color w:val="000000"/>
          <w:sz w:val="24"/>
          <w:szCs w:val="24"/>
        </w:rPr>
        <w:t>и (или) предоставлению третьим лицам</w:t>
      </w:r>
    </w:p>
    <w:p w:rsidR="003D05AA" w:rsidRPr="00C3327C" w:rsidRDefault="003D05AA">
      <w:pPr>
        <w:spacing w:line="240" w:lineRule="auto"/>
        <w:jc w:val="both"/>
        <w:sectPr w:rsidR="003D05AA" w:rsidRPr="00C3327C" w:rsidSect="00A27820">
          <w:headerReference w:type="default" r:id="rId12"/>
          <w:headerReference w:type="first" r:id="rId13"/>
          <w:pgSz w:w="16838" w:h="11906" w:orient="landscape"/>
          <w:pgMar w:top="1418" w:right="567" w:bottom="244" w:left="567" w:header="709" w:footer="0" w:gutter="0"/>
          <w:cols w:space="720"/>
          <w:formProt w:val="0"/>
          <w:docGrid w:linePitch="360" w:charSpace="8192"/>
        </w:sectPr>
      </w:pPr>
    </w:p>
    <w:p w:rsidR="00FA54E9" w:rsidRPr="00C3327C" w:rsidRDefault="002B21FB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Основные параметры государственных программ</w:t>
      </w:r>
    </w:p>
    <w:p w:rsidR="00FA54E9" w:rsidRPr="00C3327C" w:rsidRDefault="002B21FB">
      <w:pPr>
        <w:pStyle w:val="a9"/>
        <w:spacing w:after="0" w:line="240" w:lineRule="auto"/>
        <w:ind w:lef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Донецкой Народной Республики</w:t>
      </w:r>
    </w:p>
    <w:p w:rsidR="00FA54E9" w:rsidRPr="00C3327C" w:rsidRDefault="00FA54E9">
      <w:pPr>
        <w:spacing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4E9" w:rsidRPr="00C3327C" w:rsidRDefault="002B21FB" w:rsidP="0030128B">
      <w:pPr>
        <w:pStyle w:val="af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нормативным правовым актом Донецкой Народной Республики, определяющим внедрение государственных программ Донецкой Народной Республики, является Закон Донецкой Народной Республики </w:t>
      </w:r>
      <w:r w:rsidR="0030128B" w:rsidRP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от 27 января 2023 года №</w:t>
      </w:r>
      <w:r w:rsid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431-IIНС «О стратегическом планировании </w:t>
      </w:r>
      <w:r w:rsid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 Донецкой Народной Республике». Частью 2 статьи 14 Закона Донецкой Народной Республики «О стратегическом планировании в Донецкой Народной Республике» установлено, что разработка и реализация государственных программ Донецкой Народной Республики осуществляется в соответствии </w:t>
      </w:r>
      <w:r w:rsid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с порядком разработки, реализации и оценки эффективности государственных программ (далее – Порядок), который определяется Правительством Донецкой Народной Республики. </w:t>
      </w:r>
    </w:p>
    <w:p w:rsidR="00FA54E9" w:rsidRPr="00C3327C" w:rsidRDefault="002B21FB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Порядок не утвержден, проект Порядка разработан и проходит стадию согласования, в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с чем утвержденные государственные программы Донецкой Народной Республики, соответствующие нормам Закона Донецкой Народной Республики «О стратегическом планировании в Донецкой Народной Республике», на данный момент отсутствуют. </w:t>
      </w:r>
    </w:p>
    <w:p w:rsidR="00FA54E9" w:rsidRPr="00C3327C" w:rsidRDefault="002B21FB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отметить, что со</w:t>
      </w:r>
      <w:r w:rsidR="00C3327C">
        <w:rPr>
          <w:rFonts w:ascii="Times New Roman" w:hAnsi="Times New Roman" w:cs="Times New Roman"/>
          <w:color w:val="000000"/>
          <w:sz w:val="28"/>
          <w:szCs w:val="28"/>
        </w:rPr>
        <w:t>гласно подпункту «г» пункта 10 п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остановления Правительства Российской Федерации от 22 декабря 2022 года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="00C3327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</w:t>
      </w:r>
      <w:r w:rsid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2025 годы» (далее –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Постановление № 2377) при составлении, рассмотрении, утверждении проектов бюджетов Донецкой Народной Республики, Луганской Народной Республики, Запорожской области, Херсонской области на 2024</w:t>
      </w:r>
      <w:r w:rsidR="00C332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2025 годы, а также при исполнении указанных бюджетов не применяются положения статьи 179 Бюджетного кодекса Российской Федерации (в части распределения бюджетных ассигнований </w:t>
      </w:r>
      <w:r w:rsidR="00C33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по государственным программам). </w:t>
      </w:r>
      <w:proofErr w:type="gramEnd"/>
    </w:p>
    <w:p w:rsidR="00FA54E9" w:rsidRPr="00C3327C" w:rsidRDefault="002B21FB">
      <w:pPr>
        <w:pStyle w:val="af0"/>
        <w:ind w:left="0" w:right="0"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Кроме того, согласно пункту 19 Постановления №</w:t>
      </w:r>
      <w:r w:rsidR="00BB16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2377 до 01.01.2026 </w:t>
      </w:r>
      <w:r w:rsidR="00BB16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из федерального бюджета субсидий бюджетам Донецкой Народной Республики, Луганской Народной Республики, Запорожской области, Херсонской области не применяются положения абзаца первого пункта 28 Положения о системе управления государственными программами Российской Федерации, утвержденного </w:t>
      </w:r>
      <w:r w:rsidR="00D51D0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26 мая 2021 года №</w:t>
      </w:r>
      <w:r w:rsidR="00D51D0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786 (в части наличия государственных программ субъекта Российской Федерации). </w:t>
      </w:r>
      <w:proofErr w:type="gramEnd"/>
    </w:p>
    <w:p w:rsidR="00FA54E9" w:rsidRPr="00C3327C" w:rsidRDefault="002B21FB">
      <w:pPr>
        <w:pStyle w:val="af0"/>
        <w:ind w:left="0" w:right="0" w:firstLine="709"/>
        <w:jc w:val="both"/>
      </w:pP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Также, согласно пункту 191 Постановления №</w:t>
      </w:r>
      <w:r w:rsidR="000E52D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2377 до 01.01.2026 </w:t>
      </w:r>
      <w:r w:rsidR="000E52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из федерального бюджета субсидий (иных межбюджетных трансфертов) бюджетам Донецкой Народной Республики, Луганской Народной Республики, Запорожской области, Херсонской области не применяются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 правил предоставления и распределения субсидий (иных межбюджетных трансфертов) из федерального бюджета бюджетам субъектов Российской Федерации о наличии государственных программ субъекта Российской Федерации.</w:t>
      </w:r>
      <w:proofErr w:type="gramEnd"/>
    </w:p>
    <w:p w:rsidR="00FA54E9" w:rsidRPr="00C3327C" w:rsidRDefault="002B21FB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в рамках внедрения программно-целевого метода планирования в Донецкой Народной Республике утверждены и </w:t>
      </w:r>
      <w:proofErr w:type="gramStart"/>
      <w:r w:rsidRPr="00C3327C">
        <w:rPr>
          <w:rFonts w:ascii="Times New Roman" w:hAnsi="Times New Roman" w:cs="Times New Roman"/>
          <w:color w:val="000000"/>
          <w:sz w:val="28"/>
          <w:szCs w:val="28"/>
        </w:rPr>
        <w:t>реализуются</w:t>
      </w:r>
      <w:proofErr w:type="gramEnd"/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 ряд стратегических программных документов. </w:t>
      </w:r>
    </w:p>
    <w:p w:rsidR="00FA54E9" w:rsidRPr="00C3327C" w:rsidRDefault="002B21FB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Так, на сегодняшний день основным стратегическим документом, разработанным на региональном уровне и определяющим развитие Донецкой Народной Республики на период до 2030 года, является Региональная программа. Региональная программа нацелена на быстрое послевоенное восстановление экономики Донецкой Народной Республики и повышение качества уровня жизни населения до общероссийских стандартов (цели, задачи и мероприятия Региональной программы направлены на достижение Донецкой Народной Республикой к 2030 году уровня среднероссийских показателей качества жизни граждан Российской Федерации и общероссийского уровня социально-экономического развития). </w:t>
      </w:r>
    </w:p>
    <w:p w:rsidR="00FA54E9" w:rsidRPr="00C3327C" w:rsidRDefault="002B21FB">
      <w:pPr>
        <w:pStyle w:val="af0"/>
        <w:ind w:left="0" w:right="0" w:firstLine="709"/>
        <w:jc w:val="both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Кроме Региональной программы реализуется ряд следующих отраслевых программных документов (таблица).</w:t>
      </w:r>
    </w:p>
    <w:p w:rsidR="00FA54E9" w:rsidRPr="00C3327C" w:rsidRDefault="002B21FB">
      <w:pPr>
        <w:pStyle w:val="af0"/>
        <w:ind w:left="0" w:right="0"/>
        <w:jc w:val="center"/>
        <w:rPr>
          <w:rFonts w:ascii="Times New Roman" w:hAnsi="Times New Roman" w:cs="Times New Roman"/>
          <w:sz w:val="28"/>
          <w:szCs w:val="28"/>
        </w:rPr>
        <w:sectPr w:rsidR="00FA54E9" w:rsidRPr="00C3327C" w:rsidSect="006F4CA2">
          <w:headerReference w:type="default" r:id="rId14"/>
          <w:headerReference w:type="first" r:id="rId15"/>
          <w:pgSz w:w="11906" w:h="16838"/>
          <w:pgMar w:top="1134" w:right="567" w:bottom="1134" w:left="1701" w:header="709" w:footer="0" w:gutter="0"/>
          <w:cols w:space="720"/>
          <w:formProt w:val="0"/>
          <w:docGrid w:linePitch="360" w:charSpace="8192"/>
        </w:sectPr>
      </w:pPr>
      <w:r w:rsidRPr="00C3327C">
        <w:br w:type="page"/>
      </w:r>
    </w:p>
    <w:p w:rsidR="00FA54E9" w:rsidRPr="000E52DD" w:rsidRDefault="002B21FB">
      <w:pPr>
        <w:pStyle w:val="af0"/>
        <w:ind w:left="0" w:right="0"/>
        <w:jc w:val="right"/>
        <w:rPr>
          <w:sz w:val="24"/>
          <w:szCs w:val="24"/>
        </w:rPr>
      </w:pPr>
      <w:r w:rsidRPr="000E52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</w:t>
      </w:r>
    </w:p>
    <w:p w:rsidR="00FA54E9" w:rsidRPr="00C3327C" w:rsidRDefault="002B21FB">
      <w:pPr>
        <w:pStyle w:val="af0"/>
        <w:ind w:left="0" w:righ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Ключевые параметры программных документов</w:t>
      </w:r>
    </w:p>
    <w:p w:rsidR="00FA54E9" w:rsidRPr="00C3327C" w:rsidRDefault="002B21FB">
      <w:pPr>
        <w:pStyle w:val="af0"/>
        <w:ind w:left="0" w:right="0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t>Донецкой Народной Республики на 2024–2027 годы</w:t>
      </w:r>
    </w:p>
    <w:p w:rsidR="00FA54E9" w:rsidRPr="00C3327C" w:rsidRDefault="00FA54E9">
      <w:pPr>
        <w:pStyle w:val="af0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3127"/>
        <w:gridCol w:w="3685"/>
        <w:gridCol w:w="8080"/>
      </w:tblGrid>
      <w:tr w:rsidR="00FA54E9" w:rsidRPr="00C3327C" w:rsidTr="001A60B4">
        <w:trPr>
          <w:trHeight w:val="597"/>
          <w:tblHeader/>
        </w:trPr>
        <w:tc>
          <w:tcPr>
            <w:tcW w:w="559" w:type="dxa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27" w:type="dxa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программного документа</w:t>
            </w:r>
          </w:p>
        </w:tc>
        <w:tc>
          <w:tcPr>
            <w:tcW w:w="3685" w:type="dxa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Главная цель программного документа</w:t>
            </w:r>
          </w:p>
        </w:tc>
        <w:tc>
          <w:tcPr>
            <w:tcW w:w="8079" w:type="dxa"/>
            <w:vAlign w:val="center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Ключевые целевые показатели (ожидаемые результаты), финансовое обеспечение программного документа</w:t>
            </w:r>
          </w:p>
        </w:tc>
      </w:tr>
    </w:tbl>
    <w:p w:rsidR="00FA54E9" w:rsidRPr="00C3327C" w:rsidRDefault="00FA54E9">
      <w:pPr>
        <w:pStyle w:val="af0"/>
        <w:ind w:left="0" w:right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fb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3127"/>
        <w:gridCol w:w="3685"/>
        <w:gridCol w:w="8080"/>
      </w:tblGrid>
      <w:tr w:rsidR="00FA54E9" w:rsidRPr="00C3327C">
        <w:trPr>
          <w:trHeight w:val="267"/>
          <w:tblHeader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A54E9" w:rsidRPr="00C3327C">
        <w:trPr>
          <w:trHeight w:val="267"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Региональная программа </w:t>
            </w:r>
          </w:p>
          <w:p w:rsidR="00FA54E9" w:rsidRPr="00C3327C" w:rsidRDefault="00490314" w:rsidP="0049031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(утверждена п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от 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28 апреля 2023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29-1,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 изменениями, утвержденными п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</w:t>
            </w:r>
            <w:proofErr w:type="gramEnd"/>
          </w:p>
          <w:p w:rsidR="00FA54E9" w:rsidRPr="00C3327C" w:rsidRDefault="002B21FB" w:rsidP="0049031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12 сентября 2024 года №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95-1)</w:t>
            </w:r>
          </w:p>
          <w:p w:rsidR="00FA54E9" w:rsidRPr="00C3327C" w:rsidRDefault="00FA54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54E9" w:rsidRPr="00C3327C" w:rsidRDefault="00FA54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Быстрое послевоенное восстановление экономики Донецкой Народной Республики и повышение качества уровня жизни населения до общероссийских стандартов (цели, задачи и мероприятия Региональной программы направлены на достижение Донецкой Народной Республикой к 2030 году уровня среднероссийских показателей качества жизни граждан Российской Федерации и общероссийского уровня социально-экономического развития)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населения: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2150,1 тыс. человек;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2152,1 тыс. человек.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Ожидаемая продолжительность жизни при рождении: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67,84 лет;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68,13 лет.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Индекс производства основных видов сельскохозяйственной продукции: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105,8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103,6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жилищного строительства: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420,0 тыс. кв. метров;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480,0 тыс. кв. метров.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автомобильных дорог, входящих в опорную сеть, соответствующих нормативным требованиям: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65,1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85,0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Ежегодный прирост поступлений налоговых и неналоговых доходов в консолидированные бюджеты субъектов Российской Федерации: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16,0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15,0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Финансовое обеспечение Региональной программы: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501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195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862,4 тыс.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в том числе федеральный бюджет – 387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196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270,6 тыс.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бюджет Донецкой Народной Республики – 59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375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138,7 тыс.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иные источники – 54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624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453,1 тыс.</w:t>
            </w:r>
            <w:r w:rsidR="004903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430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323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374,1 тыс.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том числе федеральный бюджет – 362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679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704,1 тыс.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бюджет Донецкой Народной Республики – 33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978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269,3 тыс.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иные источники – 33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665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400,7 тыс.</w:t>
            </w:r>
            <w:r w:rsidR="001A60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1A60B4" w:rsidRDefault="001A60B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458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761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271,0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том числе федеральный бюджет – 396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666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254,2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бюджет Донецкой Народной Республики – 35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081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133,3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иные источники – 27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013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883,5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FA54E9" w:rsidRPr="00C3327C" w:rsidRDefault="002B21FB" w:rsidP="00F92D07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472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553,6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том числе федеральный бюджет – 402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712,2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бюджет Донецкой Народной Республики – 33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784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844,1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иные источники – 37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076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997,3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FA54E9" w:rsidRPr="00C3327C">
        <w:trPr>
          <w:trHeight w:val="267"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7" w:type="dxa"/>
          </w:tcPr>
          <w:p w:rsidR="00FA54E9" w:rsidRPr="00C3327C" w:rsidRDefault="002B21FB" w:rsidP="00F92D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Донецкой Народной Республики «Развитие промышленности Донецкой Народной Республики 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повышение ее конкурентоспособности» </w:t>
            </w:r>
          </w:p>
          <w:p w:rsidR="00FA54E9" w:rsidRPr="00C3327C" w:rsidRDefault="00F92D07" w:rsidP="00F92D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2024-2026 годы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от 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14 июля 2023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54-1)</w:t>
            </w:r>
          </w:p>
        </w:tc>
        <w:tc>
          <w:tcPr>
            <w:tcW w:w="3685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благоприятных экономических, организационных и правовых условий для устойчивого роста промышленного производства, повышение производительности труда, создание и модернизация высокопроизводительных рабочих мест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 (накопленным итогом):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2024 г. – 252 000,00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руб.;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2025 г. – 504 000,00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2026 г. – 756 000,00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 (накопленным итогом):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2024 г. – 500 000,00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2025 г. – 1 000 000,00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2026 г. – 1 500 000,00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 (накопленным итогом): </w:t>
            </w:r>
            <w:proofErr w:type="gramEnd"/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2024 г. – 252 000,00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руб.;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2025 г. – 504 000,00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2026 г. – 756 000,00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финансовых ресурсов программы: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151 500,0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150 000,0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бюджет ДНР – 1 500,0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  <w:proofErr w:type="gramEnd"/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151 500,0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150 000,0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бюджет ДНР – 1 500,0 тыс.</w:t>
            </w:r>
            <w:r w:rsidR="00F92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</w:t>
            </w:r>
            <w:proofErr w:type="gramEnd"/>
          </w:p>
        </w:tc>
      </w:tr>
      <w:tr w:rsidR="00FA54E9" w:rsidRPr="00C3327C">
        <w:trPr>
          <w:trHeight w:val="267"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7" w:type="dxa"/>
          </w:tcPr>
          <w:p w:rsidR="00FA54E9" w:rsidRPr="00C3327C" w:rsidRDefault="002B21FB" w:rsidP="004D106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действий по развитию жилищного строительства на территории Донецкой Народной Республики</w:t>
            </w:r>
          </w:p>
          <w:p w:rsidR="00FA54E9" w:rsidRPr="00C3327C" w:rsidRDefault="004D106C" w:rsidP="004D106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 августа 2023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61-3)</w:t>
            </w:r>
          </w:p>
        </w:tc>
        <w:tc>
          <w:tcPr>
            <w:tcW w:w="3685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восстановления и строительства жилья в объеме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10</w:t>
            </w:r>
            <w:r w:rsidR="006F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501 тыс. кв.</w:t>
            </w:r>
            <w:r w:rsidR="006F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к 2026 году включ</w:t>
            </w:r>
            <w:r w:rsidR="006F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ительно,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r w:rsidR="006F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введенного в эксплуатацию нового жилья в объеме 1</w:t>
            </w:r>
            <w:r w:rsidR="006F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503 тыс. кв. м жилья, обеспечение к 2026 году ввода жилья на душу населения не ниже средне-российского уровня (0,41 кв. м/чел).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вклада в достижение национальной цели «Комфортная и безопасная среда для жизни» на уровне среднероссийских показателей </w:t>
            </w:r>
            <w:r w:rsidR="006F6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2030 году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Восстановление и строительство жилья: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699,2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1 070,8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2 170,4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2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386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 жилья на душу населения: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0,20 кв. м /чел.;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0,35 кв. м /чел.;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0,45 кв. м /чел.;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0,55 кв. м /чел.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многоквартирных жилых домов в стадии строительства: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769,0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1 097,0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1 436,7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1 895,0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Жилищное строительство по программе льготного ипотечного кредитования: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200,711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382,918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финансовых ресурсов программы: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1 238 000,0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 за счет федерального бюджета;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472 687,2 тыс.</w:t>
            </w:r>
            <w:r w:rsidR="004D6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уб. за счет федерального бюджета;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подлежит уточнению;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подлежит уточнению</w:t>
            </w:r>
          </w:p>
        </w:tc>
      </w:tr>
      <w:tr w:rsidR="00FA54E9" w:rsidRPr="00C3327C">
        <w:trPr>
          <w:trHeight w:val="267"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175CC2" w:rsidRDefault="002B21FB" w:rsidP="00175C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«Восстановление распределительных сетей Донецкой На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Республики» (утверждена п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от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14 сентября 2023 года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№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77-2, с изменениями, утвержденными постановлениями Правительства Донецкой Народной Республики от 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9 ноября 2023 г.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95-1, 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 декабря 2023 года 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112-4, 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</w:t>
            </w:r>
            <w:proofErr w:type="gramEnd"/>
          </w:p>
          <w:p w:rsidR="00175CC2" w:rsidRDefault="002B21FB" w:rsidP="00175C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апреля 2024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42-7, </w:t>
            </w:r>
            <w:proofErr w:type="gramStart"/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FA54E9" w:rsidRPr="00C3327C" w:rsidRDefault="002B21FB" w:rsidP="00175C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сентября 2024 г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92-1)</w:t>
            </w:r>
            <w:proofErr w:type="gramEnd"/>
          </w:p>
        </w:tc>
        <w:tc>
          <w:tcPr>
            <w:tcW w:w="3685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Доступное и качественное энергоснабжение потребителей Донецкой Народной Республики.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Стимулирование экономической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активности и создание новых рабочих мест.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уровня жизни населения.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и жизнеобеспечение энергокомпаний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потерь электрической энергии: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13,5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сборов за потребленную электроэнергию: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87,0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Количество восстановленных объектов распределенных сетей при осуществлении капитального ремонта: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24 шт.;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приобретенной специализированной техники: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 – 8 шт.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финансовых ресурсов программы: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758 792,3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 из федерального бюджета</w:t>
            </w:r>
          </w:p>
        </w:tc>
      </w:tr>
      <w:tr w:rsidR="00FA54E9" w:rsidRPr="00C3327C">
        <w:trPr>
          <w:trHeight w:val="267"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7" w:type="dxa"/>
          </w:tcPr>
          <w:p w:rsidR="00FA54E9" w:rsidRPr="00C3327C" w:rsidRDefault="002B21FB" w:rsidP="00175C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комплексного развития и модернизации жилищно-коммунального хозяйства на территории Донецкой Народной Республики</w:t>
            </w:r>
          </w:p>
          <w:p w:rsidR="00FA54E9" w:rsidRPr="00C3327C" w:rsidRDefault="002B21FB" w:rsidP="00175CC2">
            <w:pPr>
              <w:pStyle w:val="af0"/>
              <w:widowControl w:val="0"/>
              <w:ind w:left="0" w:right="0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рждена</w:t>
            </w:r>
            <w:proofErr w:type="gramEnd"/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14 сентября 2023 года №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77-6)</w:t>
            </w:r>
          </w:p>
          <w:p w:rsidR="00FA54E9" w:rsidRPr="00C3327C" w:rsidRDefault="00FA54E9">
            <w:pPr>
              <w:pStyle w:val="af0"/>
              <w:widowControl w:val="0"/>
              <w:ind w:left="0"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качества предоставления жилищно-коммунальных услуг и создание условий для удовлетворения спроса населения на услуги в жилищно-коммунальной сфере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Темпы замены сетей водоснабжения (доля от общей протяженности):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0,4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1,5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2,5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3,0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Темпы замены сетей водоотведения (доля от общей протяженности):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0,4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1,5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2,5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3,0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Темпы замены сетей теплоснабжения (доля от общей протяженности):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0,4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1,5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2,5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3,0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построенных, реконструированных, модернизированных, капитально отремонтированных объектов водоснабжения: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21 шт.;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2025 г. – 69 шт.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реконструированных, модернизированных, капитально отремонтированных объектов водоотведения: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36 шт.;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12 шт.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построенных, реконструированных, модернизированных, капитально отремонтированных объектов теплоснабжения: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86 шт.;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52 шт.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благоустроенных территорий: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20 единиц;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20 единиц;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20 единиц;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20 единиц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финансовых ресурсов программы по направлениям: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I. Эксплуатация жилищного фонда: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9 199 259,8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3 972 400,0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иные источники – 5 226 859,8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  <w:proofErr w:type="gramEnd"/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9 267 166,7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3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339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900,0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иные источники – 5 927 266,7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  <w:proofErr w:type="gramEnd"/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2026 г. – 9 195 800,0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федеральный бюджет – 2 750 500,0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иные источники – 6 445 300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2027 г. – 9 873 700,0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федеральный бюджет – 2 311 300,0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иные источники – 7 562 400,0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Коммунальное хозяйство: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13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862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456,6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1 000 000,0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бюджет ДНР – 10 876 589,89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иные источники – 1 985 866,67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  <w:proofErr w:type="gramEnd"/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24 267 857,3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14 840 259,61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бюджет ДНР – 7 794 071,94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иные источники – 1 633 525,71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  <w:proofErr w:type="gramEnd"/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15 088 187,66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8 359 485,38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бюджет ДНР – 6 728 702,28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15 620 511,32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федеральный бюджет – 10 031 382,46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бюджет ДНР – 5 589 128,86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Формирование комфортной городской среды: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1 910 553,8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 за счет федерального бюджета;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1 915 297,6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 за счет федерального бюджета;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1 915 297,6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 за счет федерального бюджета;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1 915 297,6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 за счет федерального бюджета</w:t>
            </w:r>
          </w:p>
        </w:tc>
      </w:tr>
      <w:tr w:rsidR="00FA54E9" w:rsidRPr="00C3327C">
        <w:trPr>
          <w:trHeight w:val="267"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7" w:type="dxa"/>
          </w:tcPr>
          <w:p w:rsidR="00FA54E9" w:rsidRPr="00C3327C" w:rsidRDefault="002B21FB" w:rsidP="00175C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Региональная программа модернизации первичного звена здравоохранения Донецкой Народной Республики</w:t>
            </w:r>
          </w:p>
          <w:p w:rsidR="00FA54E9" w:rsidRPr="00C3327C" w:rsidRDefault="00175CC2" w:rsidP="00175CC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(утверждена п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3 октября 2023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2B21FB"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№84-2, с изменениями, утвержденными постановлениями Правительства Донецкой Народной Республики </w:t>
            </w:r>
            <w:proofErr w:type="gramEnd"/>
          </w:p>
          <w:p w:rsidR="00FA54E9" w:rsidRPr="00C3327C" w:rsidRDefault="002B21F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25 декабря 2023 года №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113-16, от 25 марта 2024 года №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30-1)</w:t>
            </w:r>
          </w:p>
        </w:tc>
        <w:tc>
          <w:tcPr>
            <w:tcW w:w="3685" w:type="dxa"/>
          </w:tcPr>
          <w:p w:rsidR="00FA54E9" w:rsidRPr="00C3327C" w:rsidRDefault="002B21FB" w:rsidP="00175CC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доступности и качества первичной медико-санитарной помощи и    медицинской 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помощи, оказываемой в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сельской   местности, рабочих поселках,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поселках городского типа и малых городах с численностью населения до 50 тыс. чел.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финансовых ресурсов программы: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13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649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589,1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межбюджетные трансферты федерального бюджета – 298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884,4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объем дополнительной потребности в финансовых ресурсах на реализацию мероприятия –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13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704,7 тыс. руб.</w:t>
            </w:r>
          </w:p>
          <w:p w:rsidR="00FA54E9" w:rsidRPr="00C3327C" w:rsidRDefault="002B21FB" w:rsidP="00175CC2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10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025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832,5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межбюджетные трансферты федерального бюджета – 573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926,0 тыс.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объем дополнительной потребности в финансовых ресурсах на реализацию мероприятия –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9 451 906,5 тыс. руб.</w:t>
            </w:r>
          </w:p>
        </w:tc>
      </w:tr>
      <w:tr w:rsidR="00FA54E9" w:rsidRPr="00C3327C">
        <w:trPr>
          <w:trHeight w:val="267"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7" w:type="dxa"/>
          </w:tcPr>
          <w:p w:rsidR="00FA54E9" w:rsidRPr="00C3327C" w:rsidRDefault="002B21FB" w:rsidP="00175CC2">
            <w:pPr>
              <w:pStyle w:val="af0"/>
              <w:widowControl w:val="0"/>
              <w:ind w:left="0" w:right="0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Региональная программа «Борьба с сахарным диабетом» в Донецкой Народной Республике (утверждена 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от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11 апреля 2024 года №</w:t>
            </w:r>
            <w:r w:rsid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38-2)</w:t>
            </w:r>
          </w:p>
          <w:p w:rsidR="00FA54E9" w:rsidRPr="00C3327C" w:rsidRDefault="00FA54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54E9" w:rsidRPr="00175CC2" w:rsidRDefault="002B21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Раннее выявление и лечение сахарного диабета в целях предупреждения осложнений данного заболевания, в том числе приводящих к инвалидности; подготовка специалистов в сфере профилактики, диагностики и лечения сахарного диабета и обеспечение специализированных </w:t>
            </w:r>
            <w:r w:rsidRPr="00175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медицинских организаций (подразделений), оказывающих медицинскую помощь больным сахарным диабетом, квалифицированными кадрами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пациентов с сахарным диабетом 1 и 2 типов, охваченных диспансерным наблюдением, в том числе проводимым в рамках данного наблюдения исследованием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гемоглобина с помощью лабораторных методов, ежегодно не реже 1 раза в год, от общего числа пациентов с сахарным диабетом 1 и 2 типов: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49,4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57,6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 w:rsidP="00D01D9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Доля пациентов с сахарным диабетом 1 и 2 типов, достигших уровня </w:t>
            </w:r>
            <w:proofErr w:type="spellStart"/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>гликированного</w:t>
            </w:r>
            <w:proofErr w:type="spellEnd"/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 гемоглобина менее или равного 7 на конец года, от числа пациентов с сахарным диабетом 1 и 2 типов, охваченных исследованием </w:t>
            </w:r>
            <w:proofErr w:type="spellStart"/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>гликированного</w:t>
            </w:r>
            <w:proofErr w:type="spellEnd"/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 гемоглобина с помощью лабораторных методов</w:t>
            </w:r>
            <w:r w:rsidRPr="00C3327C">
              <w:rPr>
                <w:rFonts w:eastAsia="Calibri" w:cs="Times New Roman CYR"/>
                <w:color w:val="000000"/>
              </w:rPr>
              <w:t>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г. – 0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42,39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>Доля пациентов с сахарным диабетом 1 и 2 типов с высокими ампутациями от всех пациентов с сахарным диабетом 1 и 2 типов с любыми ампутациями</w:t>
            </w:r>
            <w:r w:rsidRPr="00C3327C">
              <w:rPr>
                <w:rFonts w:eastAsia="Calibri" w:cs="Times New Roman CYR"/>
                <w:color w:val="000000"/>
              </w:rPr>
              <w:t>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100,0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42,54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Доля пациентов с сахарным диабетом 1 и </w:t>
            </w:r>
            <w:r w:rsidRPr="00C3327C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типов, нуждающихся в заместительной почечной терапии, и пациентов со слепотой, от всех пациентов с сахарным диабетом 1 и </w:t>
            </w:r>
            <w:r w:rsidRPr="00C3327C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типов с хронической болезнью почек и пациентов с диабетической </w:t>
            </w:r>
            <w:proofErr w:type="spellStart"/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>ретинопатией</w:t>
            </w:r>
            <w:proofErr w:type="spellEnd"/>
            <w:r w:rsidRPr="00C3327C">
              <w:rPr>
                <w:rFonts w:eastAsia="Calibri" w:cs="Times New Roman CYR"/>
                <w:color w:val="000000"/>
              </w:rPr>
              <w:t>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1,37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1,09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Доля пациентов с сахарным диабетом, выявленных впервые при профилактических медицинских осмотрах и диспансеризации в отчетном году, </w:t>
            </w:r>
            <w:r w:rsidR="00D01D95">
              <w:rPr>
                <w:rFonts w:eastAsia="Calibri" w:cs="Times New Roman CYR"/>
                <w:color w:val="000000"/>
              </w:rPr>
              <w:br/>
            </w: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от общего числа зарегистрированных заболеваний </w:t>
            </w:r>
            <w:proofErr w:type="gramStart"/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>с</w:t>
            </w:r>
            <w:proofErr w:type="gramEnd"/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 впервые </w:t>
            </w:r>
            <w:proofErr w:type="gramStart"/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>в</w:t>
            </w:r>
            <w:proofErr w:type="gramEnd"/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 жизни установленным диагнозом сахарный диабет у взрослых за отчетный год</w:t>
            </w:r>
            <w:r w:rsidRPr="00C3327C">
              <w:rPr>
                <w:rFonts w:eastAsia="Calibri" w:cs="Times New Roman CYR"/>
                <w:color w:val="000000"/>
              </w:rPr>
              <w:t>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25,3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27,9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>Охват граждан исследованием глюкозы натощак</w:t>
            </w:r>
            <w:r w:rsidRPr="00C3327C">
              <w:rPr>
                <w:rFonts w:eastAsia="Calibri" w:cs="Times New Roman CYR"/>
                <w:color w:val="000000"/>
              </w:rPr>
              <w:t>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62,1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62,1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Доля пациентов, обученных в школе для пациентов с сахарным диабетом, от общего числа пациентов с сахарным диабетом 1 и </w:t>
            </w:r>
            <w:r w:rsidRPr="00C3327C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>типов (</w:t>
            </w:r>
            <w:proofErr w:type="spellStart"/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>Е10-Е14</w:t>
            </w:r>
            <w:proofErr w:type="spellEnd"/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>) за отчетный год</w:t>
            </w:r>
            <w:r w:rsidRPr="00C3327C">
              <w:rPr>
                <w:rFonts w:eastAsia="Calibri" w:cs="Times New Roman CYR"/>
                <w:color w:val="000000"/>
              </w:rPr>
              <w:t>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13,4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14,8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 xml:space="preserve">Финансовое обеспечение мероприятий в Региональной программе «Борьба </w:t>
            </w:r>
            <w:r w:rsidR="00D01D95">
              <w:rPr>
                <w:rFonts w:eastAsia="Calibri" w:cs="Times New Roman CYR"/>
                <w:color w:val="000000"/>
              </w:rPr>
              <w:br/>
            </w:r>
            <w:r w:rsidRPr="00C3327C">
              <w:rPr>
                <w:rFonts w:ascii="Times New Roman CYR" w:eastAsia="Calibri" w:hAnsi="Times New Roman CYR" w:cs="Times New Roman CYR"/>
                <w:color w:val="000000"/>
              </w:rPr>
              <w:t>с сахарным диабетом» в Донецкой Народной Республике не предусмотрено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54E9" w:rsidRPr="00C3327C">
        <w:trPr>
          <w:trHeight w:val="267"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27" w:type="dxa"/>
          </w:tcPr>
          <w:p w:rsidR="00FA54E9" w:rsidRPr="00C3327C" w:rsidRDefault="002B21FB" w:rsidP="00D01D9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замены лифтов в Донецкой Народной Республике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(утверждена 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от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19 октября 2023 года 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88-6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 изменениями, утвержденными п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</w:t>
            </w:r>
            <w:proofErr w:type="gramEnd"/>
          </w:p>
          <w:p w:rsidR="00FA54E9" w:rsidRPr="00C3327C" w:rsidRDefault="002B21FB" w:rsidP="00D01D95">
            <w:pPr>
              <w:pStyle w:val="af0"/>
              <w:widowControl w:val="0"/>
              <w:ind w:left="0" w:right="0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9 сентября 2024 года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№ 94-1)</w:t>
            </w:r>
          </w:p>
        </w:tc>
        <w:tc>
          <w:tcPr>
            <w:tcW w:w="3685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безопасных и комфортных условий проживания граждан в жилых домах путем создания необходимых условий по обеспечению безопасной эксплуатации лифтового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хозяйства.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Ликвидация аварийного состояния лифтового хозяйства. 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безопасности и качества эксплуатации лифтовых установок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Замена лифтов:</w:t>
            </w:r>
          </w:p>
          <w:p w:rsidR="00FA54E9" w:rsidRPr="00C3327C" w:rsidRDefault="002B21F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г. - 4 квартал 2024 г. – 600 лифтов;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1 115 лифтов;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1 114 лифтов;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1 114 лифтов.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финансовых ресурсов программы: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г. - 4 квартал 2024 г. – 3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 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федеральный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бюджет – 2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 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средства АО «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</w:t>
            </w: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– 1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 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5 575 000,0</w:t>
            </w:r>
            <w:r w:rsidRPr="00C3327C">
              <w:rPr>
                <w:rFonts w:eastAsia="Calibri"/>
                <w:color w:val="000000"/>
                <w:sz w:val="20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 из иных источников;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5 570 000,0</w:t>
            </w:r>
            <w:r w:rsidRPr="00C3327C">
              <w:rPr>
                <w:rFonts w:eastAsia="Calibri"/>
                <w:color w:val="000000"/>
                <w:sz w:val="20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 из иных источников;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2027 г. – 5 570 000,0</w:t>
            </w:r>
            <w:r w:rsidRPr="00C3327C">
              <w:rPr>
                <w:rFonts w:eastAsia="Calibri"/>
                <w:color w:val="000000"/>
                <w:sz w:val="20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 из иных источников</w:t>
            </w:r>
          </w:p>
          <w:p w:rsidR="00FA54E9" w:rsidRPr="00C3327C" w:rsidRDefault="00FA54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4E9" w:rsidRPr="00C3327C">
        <w:trPr>
          <w:trHeight w:val="267"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7" w:type="dxa"/>
          </w:tcPr>
          <w:p w:rsidR="00FA54E9" w:rsidRPr="00C3327C" w:rsidRDefault="002B21FB" w:rsidP="00D01D9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Государственная программа «Формирование современной городской среды на территории Донецкой Народной Республики на 2023-2025 годы»</w:t>
            </w:r>
          </w:p>
          <w:p w:rsidR="00FA54E9" w:rsidRPr="00C3327C" w:rsidRDefault="002B21FB" w:rsidP="00D01D9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(утверждена 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20 декабря 2023 года №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111-6, с изменениями, утвержденными постановлениями Правительства Донецкой Народной Республики </w:t>
            </w:r>
            <w:proofErr w:type="gramEnd"/>
          </w:p>
          <w:p w:rsidR="00FA54E9" w:rsidRPr="00C3327C" w:rsidRDefault="002B21FB" w:rsidP="00D01D95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11 апреля 2024 года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№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38-5, от 5 сентября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2024 года №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93-2)</w:t>
            </w:r>
          </w:p>
        </w:tc>
        <w:tc>
          <w:tcPr>
            <w:tcW w:w="3685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территорий Донецкой Народной Республики. Повышение современных, комфортных условий для жизни, отдыха и культурной деятельности жителей городов и районов Донецкой Народной Республики, в том числе для маломобильных групп населения.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санитарного и эстетического состояния территорий городов и районов Донецкой Народной Республики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благоустройства территорий: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8 шт.,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3 шт.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благоустройства общественных территорий (в рамках Всероссийского конкурса лучших проектов создания комфортной городской среды в малых городах и исторических поселениях численностью до 200 тыс. человек):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3 шт.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финансовых ресурсов программы: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880 282,53 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871 479,7 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за счет средств муниципальных образований Донецкой Народной Республики – 8 802,83 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</w:t>
            </w:r>
            <w:proofErr w:type="gramEnd"/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234 147,98 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231 806,5  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за счет средств муниципальных образований Донецкой Народной Республики – 2 341,48 тыс.</w:t>
            </w:r>
            <w:r w:rsidR="00D01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</w:t>
            </w:r>
            <w:proofErr w:type="gramEnd"/>
          </w:p>
          <w:p w:rsidR="00FA54E9" w:rsidRPr="00C3327C" w:rsidRDefault="00FA54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4E9" w:rsidRPr="00C3327C">
        <w:trPr>
          <w:trHeight w:val="267"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7" w:type="dxa"/>
          </w:tcPr>
          <w:p w:rsidR="00FA54E9" w:rsidRPr="00C3327C" w:rsidRDefault="002B21FB" w:rsidP="00300C9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социально-экономического развития Донецкой Народной Республики «Формирование системы комплексной реабилитации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абилитации инвалидов»</w:t>
            </w:r>
          </w:p>
          <w:p w:rsidR="00FA54E9" w:rsidRPr="00C3327C" w:rsidRDefault="002B21FB" w:rsidP="00300C9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(утверждена 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от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25 декабря 2023 года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№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113-8, с учетом п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остановления Правительства Донецкой Народной Республики </w:t>
            </w:r>
            <w:proofErr w:type="gramEnd"/>
          </w:p>
          <w:p w:rsidR="00FA54E9" w:rsidRPr="00C3327C" w:rsidRDefault="002B21FB" w:rsidP="00300C9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12 сентября 2024 года №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95-1 «О внесении изменений в постановление Правительства Донецкой Народной Республики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28 апреля 2023 г. № 29-1 «Об утверждении Программы социально-экономического развития Донецкой Народной Республики»)</w:t>
            </w:r>
          </w:p>
          <w:p w:rsidR="00FA54E9" w:rsidRPr="00C3327C" w:rsidRDefault="00FA54E9">
            <w:pPr>
              <w:pStyle w:val="af0"/>
              <w:widowControl w:val="0"/>
              <w:ind w:left="0"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54E9" w:rsidRPr="00C3327C" w:rsidRDefault="00FA54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Повышение уровня обеспеченности инвалидов, в том числе детей-инвалидов, реабилитационными и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абилитационными услугами, ранней помощью, а также уровня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развития и занятости, включая содействие занятости инвалидов, в том числе детей-инвалидов, развитие сопровождаемого проживания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инвалидов в Донецкой Народной Республике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инвалидов, в отношении которых осуществлялись мероприятия по реабилитации и (или) абилитации, в общей численности инвалидов 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Донецкой Народной Республике, имеющих такие рекомендации 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индивидуальной программе реабилитации или абилитации (взрослые):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20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2026 г. –100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инвалидов, в отношении которых осуществлялись мероприятия 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реабилитации и (или) абилитации, в общей численности инвалидов 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Донецкой Народной Республике, имеющих такие рекомендации 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индивидуальной программе реабилитации или абилитации (дети):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20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–100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детей целевой группы, получивших услуги ранней помощи, в общем количестве детей Донецкой Народной Республики, нуждающихся 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получении таких услуг: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20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–100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занятых инвалидов трудоспособного возраста в общей численности инвалидов трудоспособного возраста, проживающих на территории Донецкой Народной Республики: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30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–75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реабилитационных организаций, подлежащих включению в систему комплексной реабилитации и абилитации инвалидов, в том числе детей-инвалидов, Донецкой Народной Республики, в общем числе таких организаций, расположенных на территории Донецкой Народной Республики: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30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60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–100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семей в Донецкой Народной Республике, включенных в программы ранней помощи, удовлетворенных качеством услуг ранней помощи: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г. – 10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30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–75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%.</w:t>
            </w:r>
          </w:p>
          <w:p w:rsidR="00300C97" w:rsidRDefault="00300C9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финансовых ресурсов программы: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2024 г. – 68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811,01 тыс.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68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122,9 тыс. руб., бюджет ДНР – 688,11 тыс. руб.; </w:t>
            </w:r>
            <w:proofErr w:type="gramEnd"/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г. – 68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908,59 тыс.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68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219,5 тыс. руб., бюджет ДНР – 689,09 тыс. руб.; </w:t>
            </w:r>
            <w:proofErr w:type="gramEnd"/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2026 г. – 0,00 тыс. руб.</w:t>
            </w:r>
          </w:p>
        </w:tc>
      </w:tr>
      <w:tr w:rsidR="00FA54E9" w:rsidRPr="00C3327C">
        <w:trPr>
          <w:trHeight w:val="267"/>
        </w:trPr>
        <w:tc>
          <w:tcPr>
            <w:tcW w:w="559" w:type="dxa"/>
          </w:tcPr>
          <w:p w:rsidR="00FA54E9" w:rsidRPr="00C3327C" w:rsidRDefault="002B21FB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7" w:type="dxa"/>
          </w:tcPr>
          <w:p w:rsidR="00FA54E9" w:rsidRPr="00C3327C" w:rsidRDefault="002B21FB" w:rsidP="00300C9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«Комплексное развитие молодежной политики в Донецкой Народной Республике» </w:t>
            </w:r>
          </w:p>
          <w:p w:rsidR="00FA54E9" w:rsidRPr="00C3327C" w:rsidRDefault="002B21FB" w:rsidP="00300C97">
            <w:pPr>
              <w:pStyle w:val="af0"/>
              <w:widowControl w:val="0"/>
              <w:ind w:left="0" w:right="0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утверждена</w:t>
            </w:r>
            <w:proofErr w:type="gram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остановлением Правительства Донецкой Народной Республики от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25 декабря 2023 года 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№</w:t>
            </w:r>
            <w:r w:rsidR="00300C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113-14)</w:t>
            </w:r>
          </w:p>
          <w:p w:rsidR="00FA54E9" w:rsidRPr="00C3327C" w:rsidRDefault="00FA54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A54E9" w:rsidRPr="00C3327C" w:rsidRDefault="002B21FB" w:rsidP="00300C97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комплексного развития молодежной политики путем развития на территории Донецкой Народной Республики   современной инфраструктуры для молодежи и наполнения ее эффективной содержательной деятельностью, а также развитие добровольческой деятельности</w:t>
            </w:r>
          </w:p>
        </w:tc>
        <w:tc>
          <w:tcPr>
            <w:tcW w:w="8079" w:type="dxa"/>
          </w:tcPr>
          <w:p w:rsidR="00FA54E9" w:rsidRPr="00C3327C" w:rsidRDefault="002B21FB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отремонтированных и оснащенных оборудованием помещений – 683,3 кв. м. (2024 г.).</w:t>
            </w:r>
          </w:p>
          <w:p w:rsidR="00FA54E9" w:rsidRPr="00C3327C" w:rsidRDefault="002B21FB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молодежи, включенной в деятельность молодежных центров на системной основе – 10 600 чел. (2024 г.).</w:t>
            </w:r>
          </w:p>
          <w:p w:rsidR="00FA54E9" w:rsidRPr="00C3327C" w:rsidRDefault="002B21FB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охват молодежи деятельностью молодежных центров – 233 521 чел. (2024 г.).</w:t>
            </w:r>
          </w:p>
          <w:p w:rsidR="00FA54E9" w:rsidRPr="00C3327C" w:rsidRDefault="002B21FB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Численность молодежи, вовлеченной в добровольческую деятельность </w:t>
            </w:r>
            <w:r w:rsidR="00DE0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системной основе – 2 000 чел. (2024 г.).</w:t>
            </w:r>
          </w:p>
          <w:p w:rsidR="00FA54E9" w:rsidRPr="00C3327C" w:rsidRDefault="002B21FB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сотрудников сферы молодежной политики, прошедших обучение – 235 чел. (2024 г.).</w:t>
            </w:r>
          </w:p>
          <w:p w:rsidR="00FA54E9" w:rsidRPr="00C3327C" w:rsidRDefault="002B21FB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  методических, просветительских и образовательных мероприятий (в том числе проведение исследований, разработка методических продуктов) программ, реализованных молодежными центрами – 100 мероприятий (2024 г.).</w:t>
            </w:r>
          </w:p>
          <w:p w:rsidR="00FA54E9" w:rsidRPr="00C3327C" w:rsidRDefault="002B21FB">
            <w:pPr>
              <w:widowControl w:val="0"/>
              <w:tabs>
                <w:tab w:val="left" w:pos="31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Численность молодежи, включенной в добровольческую деятельность </w:t>
            </w:r>
            <w:r w:rsidR="00DE0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системной основе – 2 000 чел. (2024 г.).</w:t>
            </w:r>
          </w:p>
          <w:p w:rsidR="00FA54E9" w:rsidRPr="00C3327C" w:rsidRDefault="002B21FB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финансовых ресурсов программы:</w:t>
            </w:r>
          </w:p>
          <w:p w:rsidR="00FA54E9" w:rsidRPr="00C3327C" w:rsidRDefault="002B21FB" w:rsidP="00DE049D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gram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118 216,8 тыс.</w:t>
            </w:r>
            <w:r w:rsidR="00DE0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руб., в </w:t>
            </w:r>
            <w:proofErr w:type="spellStart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федеральный бюджет – 117 034,6 тыс.</w:t>
            </w:r>
            <w:r w:rsidR="00DE04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C33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руб., бюджет ДНР – 1 182,2 тыс. руб.</w:t>
            </w:r>
            <w:proofErr w:type="gramEnd"/>
          </w:p>
        </w:tc>
      </w:tr>
    </w:tbl>
    <w:p w:rsidR="00FA54E9" w:rsidRPr="00C3327C" w:rsidRDefault="00FA54E9">
      <w:pPr>
        <w:sectPr w:rsidR="00FA54E9" w:rsidRPr="00C3327C">
          <w:headerReference w:type="default" r:id="rId16"/>
          <w:headerReference w:type="first" r:id="rId17"/>
          <w:pgSz w:w="16838" w:h="11906" w:orient="landscape"/>
          <w:pgMar w:top="1418" w:right="567" w:bottom="567" w:left="851" w:header="709" w:footer="0" w:gutter="0"/>
          <w:cols w:space="720"/>
          <w:formProt w:val="0"/>
          <w:docGrid w:linePitch="360" w:charSpace="8192"/>
        </w:sectPr>
      </w:pPr>
    </w:p>
    <w:p w:rsidR="00FA54E9" w:rsidRPr="00C3327C" w:rsidRDefault="002B21FB" w:rsidP="004766C9">
      <w:pPr>
        <w:spacing w:after="0" w:line="240" w:lineRule="auto"/>
        <w:jc w:val="center"/>
      </w:pPr>
      <w:r w:rsidRPr="00C332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Прогноз баланса трудовых ресурсов Донецкой Народной Республики, </w:t>
      </w:r>
      <w:r w:rsidR="004766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766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потребность в привлечении иностранных работников </w:t>
      </w:r>
      <w:r w:rsidR="004766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27C">
        <w:rPr>
          <w:rFonts w:ascii="Times New Roman" w:hAnsi="Times New Roman" w:cs="Times New Roman"/>
          <w:color w:val="000000"/>
          <w:sz w:val="28"/>
          <w:szCs w:val="28"/>
        </w:rPr>
        <w:t>по отдельным видам экономической деятельности</w:t>
      </w:r>
    </w:p>
    <w:p w:rsidR="00FA54E9" w:rsidRPr="004766C9" w:rsidRDefault="00FA54E9">
      <w:pPr>
        <w:spacing w:after="0" w:line="240" w:lineRule="auto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proofErr w:type="gramStart"/>
      <w:r w:rsidRPr="00C3327C">
        <w:rPr>
          <w:color w:val="000000"/>
        </w:rPr>
        <w:t xml:space="preserve">В соответствии с Методикой определения потребности субъектов Российской Федерации, отраслей экономики и крупнейших работодателей </w:t>
      </w:r>
      <w:r w:rsidR="004766C9">
        <w:rPr>
          <w:color w:val="000000"/>
        </w:rPr>
        <w:br/>
      </w:r>
      <w:r w:rsidRPr="00C3327C">
        <w:rPr>
          <w:color w:val="000000"/>
        </w:rPr>
        <w:t>в профессиональных кадрах на среднесрочную и долгосрочную перспективу, утвержденной приказом Министерства труда и социально защиты Российской Федерации России от 22 марта 2024 года №</w:t>
      </w:r>
      <w:r w:rsidR="004766C9">
        <w:rPr>
          <w:color w:val="000000"/>
        </w:rPr>
        <w:t> </w:t>
      </w:r>
      <w:proofErr w:type="spellStart"/>
      <w:r w:rsidRPr="00C3327C">
        <w:rPr>
          <w:color w:val="000000"/>
        </w:rPr>
        <w:t>137н</w:t>
      </w:r>
      <w:proofErr w:type="spellEnd"/>
      <w:r w:rsidRPr="00C3327C">
        <w:rPr>
          <w:color w:val="000000"/>
        </w:rPr>
        <w:t xml:space="preserve"> (зарегистрирован Министерством юстиции Российской Федерации 2 июля 2024 года под №</w:t>
      </w:r>
      <w:r w:rsidR="004766C9">
        <w:rPr>
          <w:color w:val="000000"/>
        </w:rPr>
        <w:t> </w:t>
      </w:r>
      <w:r w:rsidRPr="00C3327C">
        <w:rPr>
          <w:color w:val="000000"/>
        </w:rPr>
        <w:t>78731), далее – Методика, субъекты Российской Федерации формируют региональные прогнозы о потребности в</w:t>
      </w:r>
      <w:proofErr w:type="gramEnd"/>
      <w:r w:rsidRPr="00C3327C">
        <w:rPr>
          <w:color w:val="000000"/>
        </w:rPr>
        <w:t xml:space="preserve"> </w:t>
      </w:r>
      <w:proofErr w:type="gramStart"/>
      <w:r w:rsidRPr="00C3327C">
        <w:rPr>
          <w:color w:val="000000"/>
        </w:rPr>
        <w:t>кадрах</w:t>
      </w:r>
      <w:proofErr w:type="gramEnd"/>
      <w:r w:rsidRPr="00C3327C">
        <w:rPr>
          <w:color w:val="000000"/>
        </w:rPr>
        <w:t xml:space="preserve"> с перспективой на пять лет </w:t>
      </w:r>
      <w:r w:rsidR="004766C9">
        <w:rPr>
          <w:color w:val="000000"/>
        </w:rPr>
        <w:br/>
      </w:r>
      <w:r w:rsidRPr="00C3327C">
        <w:rPr>
          <w:color w:val="000000"/>
        </w:rPr>
        <w:t>по двум направлениям: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>по разделам видов экономической деятельности на основе макроэкономических показателей (общая потребность региона в кадрах);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>в профессионально-квалификационном составе с учетом сведений всероссийского опроса работодателей и с учетом данных обследований рабочей силы о численности и составе занятых частично по видам экономической деятельности (замещающая потребность).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>При формировании прогноза потребности в кадрах используются следующие данные: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агрегированные данные по результатам обработки </w:t>
      </w:r>
      <w:proofErr w:type="spellStart"/>
      <w:r w:rsidRPr="00C3327C">
        <w:rPr>
          <w:color w:val="000000"/>
        </w:rPr>
        <w:t>ФГБУ</w:t>
      </w:r>
      <w:proofErr w:type="spellEnd"/>
      <w:r w:rsidRPr="00C3327C">
        <w:rPr>
          <w:color w:val="000000"/>
        </w:rPr>
        <w:t xml:space="preserve"> «</w:t>
      </w:r>
      <w:proofErr w:type="spellStart"/>
      <w:r w:rsidRPr="00C3327C">
        <w:rPr>
          <w:color w:val="000000"/>
        </w:rPr>
        <w:t>ВНИИ</w:t>
      </w:r>
      <w:proofErr w:type="spellEnd"/>
      <w:r w:rsidRPr="00C3327C">
        <w:rPr>
          <w:color w:val="000000"/>
        </w:rPr>
        <w:t xml:space="preserve"> труда» Минтруда России информации, полученной в рамках всероссийского опроса работодателей о перспективной потребности в кадрах в июне</w:t>
      </w:r>
      <w:r w:rsidR="004766C9">
        <w:rPr>
          <w:color w:val="000000"/>
        </w:rPr>
        <w:t>-</w:t>
      </w:r>
      <w:r w:rsidRPr="00C3327C">
        <w:rPr>
          <w:color w:val="000000"/>
        </w:rPr>
        <w:t>июле 2024 года;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прогнозные значения, содержащиеся в прогнозах социально- экономического развития субъектов, на пять лет по данным среднесрочного </w:t>
      </w:r>
      <w:r w:rsidR="004766C9">
        <w:rPr>
          <w:color w:val="000000"/>
        </w:rPr>
        <w:br/>
      </w:r>
      <w:r w:rsidRPr="00C3327C">
        <w:rPr>
          <w:color w:val="000000"/>
        </w:rPr>
        <w:t>(на первый</w:t>
      </w:r>
      <w:r w:rsidR="004766C9">
        <w:rPr>
          <w:color w:val="000000"/>
        </w:rPr>
        <w:t>-</w:t>
      </w:r>
      <w:r w:rsidRPr="00C3327C">
        <w:rPr>
          <w:color w:val="000000"/>
        </w:rPr>
        <w:t>третий годы прогнозного периода) и долгосрочного (на четверты</w:t>
      </w:r>
      <w:proofErr w:type="gramStart"/>
      <w:r w:rsidRPr="00C3327C">
        <w:rPr>
          <w:color w:val="000000"/>
        </w:rPr>
        <w:t>й</w:t>
      </w:r>
      <w:r w:rsidR="004766C9">
        <w:rPr>
          <w:color w:val="000000"/>
        </w:rPr>
        <w:t>-</w:t>
      </w:r>
      <w:proofErr w:type="gramEnd"/>
      <w:r w:rsidRPr="00C3327C">
        <w:rPr>
          <w:color w:val="000000"/>
        </w:rPr>
        <w:t xml:space="preserve"> пятый годы прогнозного периода) прогнозов – индексы физического объема валовой добавочной стоимости (валового регионального продукта) </w:t>
      </w:r>
      <w:r w:rsidR="004766C9">
        <w:rPr>
          <w:color w:val="000000"/>
        </w:rPr>
        <w:br/>
      </w:r>
      <w:r w:rsidRPr="00C3327C">
        <w:rPr>
          <w:color w:val="000000"/>
        </w:rPr>
        <w:t>и производительности труда на каждый прогнозный год;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>показатели рынка труда по данным Росстата (ретроспективные значения за пять лет) по каждому году прогнозного периода: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bookmarkStart w:id="25" w:name="bookmark3"/>
      <w:bookmarkEnd w:id="25"/>
      <w:r w:rsidRPr="00C3327C">
        <w:rPr>
          <w:color w:val="000000"/>
        </w:rPr>
        <w:t>количество рабочих мест (работ);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 xml:space="preserve">среднегодовая численность </w:t>
      </w:r>
      <w:proofErr w:type="gramStart"/>
      <w:r w:rsidRPr="00C3327C">
        <w:rPr>
          <w:color w:val="000000"/>
        </w:rPr>
        <w:t>занятых</w:t>
      </w:r>
      <w:proofErr w:type="gramEnd"/>
      <w:r w:rsidRPr="00C3327C">
        <w:rPr>
          <w:color w:val="000000"/>
        </w:rPr>
        <w:t>;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>количество отработанных часов в год;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>среднесписочная численность работников, в том числе по основным категориям персонала в соответствии с Методикой;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r w:rsidRPr="00C3327C">
        <w:rPr>
          <w:color w:val="000000"/>
        </w:rPr>
        <w:t>данные демографического прогноза Росстата.</w:t>
      </w:r>
    </w:p>
    <w:p w:rsidR="00FA54E9" w:rsidRPr="00C3327C" w:rsidRDefault="002B21FB" w:rsidP="004766C9">
      <w:pPr>
        <w:pStyle w:val="11"/>
        <w:spacing w:line="240" w:lineRule="auto"/>
        <w:ind w:firstLine="709"/>
        <w:jc w:val="both"/>
      </w:pPr>
      <w:bookmarkStart w:id="26" w:name="_Hlk173765720"/>
      <w:r w:rsidRPr="00C3327C">
        <w:rPr>
          <w:color w:val="000000"/>
        </w:rPr>
        <w:t xml:space="preserve">Прогноз потребности в кадрах будет сформирован в соответствии </w:t>
      </w:r>
      <w:r w:rsidR="004766C9">
        <w:rPr>
          <w:color w:val="000000"/>
        </w:rPr>
        <w:br/>
      </w:r>
      <w:bookmarkStart w:id="27" w:name="_GoBack"/>
      <w:bookmarkEnd w:id="27"/>
      <w:r w:rsidRPr="00C3327C">
        <w:rPr>
          <w:color w:val="000000"/>
        </w:rPr>
        <w:t>с Методикой с использованием вышеуказанных показателей.</w:t>
      </w:r>
      <w:bookmarkEnd w:id="26"/>
    </w:p>
    <w:p w:rsidR="00FA54E9" w:rsidRPr="00C3327C" w:rsidRDefault="00FA54E9">
      <w:pPr>
        <w:pStyle w:val="11"/>
        <w:ind w:firstLine="720"/>
        <w:jc w:val="both"/>
      </w:pPr>
    </w:p>
    <w:sectPr w:rsidR="00FA54E9" w:rsidRPr="00C3327C" w:rsidSect="004766C9">
      <w:headerReference w:type="default" r:id="rId18"/>
      <w:headerReference w:type="first" r:id="rId19"/>
      <w:pgSz w:w="11906" w:h="16838"/>
      <w:pgMar w:top="1134" w:right="567" w:bottom="1134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97" w:rsidRDefault="00300C97">
      <w:pPr>
        <w:spacing w:after="0" w:line="240" w:lineRule="auto"/>
      </w:pPr>
      <w:r>
        <w:separator/>
      </w:r>
    </w:p>
  </w:endnote>
  <w:endnote w:type="continuationSeparator" w:id="0">
    <w:p w:rsidR="00300C97" w:rsidRDefault="0030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97" w:rsidRDefault="00300C97">
      <w:pPr>
        <w:rPr>
          <w:sz w:val="12"/>
        </w:rPr>
      </w:pPr>
      <w:r>
        <w:separator/>
      </w:r>
    </w:p>
  </w:footnote>
  <w:footnote w:type="continuationSeparator" w:id="0">
    <w:p w:rsidR="00300C97" w:rsidRDefault="00300C97">
      <w:pPr>
        <w:rPr>
          <w:sz w:val="12"/>
        </w:rPr>
      </w:pPr>
      <w:r>
        <w:continuationSeparator/>
      </w:r>
    </w:p>
  </w:footnote>
  <w:footnote w:id="1">
    <w:p w:rsidR="00300C97" w:rsidRDefault="00300C97" w:rsidP="009422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В связи с переходом органов государственной статистики на сбор статистической отчетности по формам федерального статистического наблюдения проведение оценки достигнутого уровня социально-экономической ситуации по ряду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показателей не предоставляется возможным.</w:t>
      </w:r>
    </w:p>
    <w:p w:rsidR="00300C97" w:rsidRDefault="00300C97" w:rsidP="009422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Так, в 2023 г. в Донецкой Народной Республике началось проведение федеральных статистических наблюдений </w:t>
      </w:r>
      <w:r>
        <w:rPr>
          <w:rFonts w:ascii="Times New Roman" w:hAnsi="Times New Roman" w:cs="Times New Roman"/>
          <w:sz w:val="18"/>
          <w:szCs w:val="18"/>
        </w:rPr>
        <w:br/>
        <w:t>в соответствии с российской методологией официальной статистики.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 учетом этого формирование информации </w:t>
      </w:r>
      <w:r>
        <w:rPr>
          <w:rFonts w:ascii="Times New Roman" w:hAnsi="Times New Roman" w:cs="Times New Roman"/>
          <w:sz w:val="18"/>
          <w:szCs w:val="18"/>
        </w:rPr>
        <w:br/>
        <w:t>по показателям ВРП планируется Росстатом в 1-й декаде марта 2025 г.</w:t>
      </w:r>
    </w:p>
    <w:p w:rsidR="00300C97" w:rsidRDefault="00300C97" w:rsidP="009422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Данные о количестве родившихся и умерших из Единого государственного реестра записей актов гражданского состояния, по которым должна формироваться официальная статистическая информация о естественном движении населения, в 2023–2024 гг. в Донецкстат не поступали.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Разработка данных о миграционном движении населения </w:t>
      </w:r>
      <w:r>
        <w:rPr>
          <w:rFonts w:ascii="Times New Roman" w:hAnsi="Times New Roman" w:cs="Times New Roman"/>
          <w:sz w:val="18"/>
          <w:szCs w:val="18"/>
        </w:rPr>
        <w:br/>
        <w:t>не осуществлялась ввиду отсутствия программного обеспечения и отчетов по формам федерального статистического наблюдения № 1-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ПРИБ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«Сведения о прибывших гражданах Российской Федерации», 1-</w:t>
      </w:r>
      <w:proofErr w:type="spellStart"/>
      <w:r>
        <w:rPr>
          <w:rFonts w:ascii="Times New Roman" w:hAnsi="Times New Roman" w:cs="Times New Roman"/>
          <w:sz w:val="18"/>
          <w:szCs w:val="18"/>
        </w:rPr>
        <w:t>ВЫБ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«Сведения о выбывших гражданах Российской Федерации», № 1-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ПРИБ_ИнГр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«Сведения о прибывших иностранных гражданах и лицах </w:t>
      </w:r>
      <w:r>
        <w:rPr>
          <w:rFonts w:ascii="Times New Roman" w:hAnsi="Times New Roman" w:cs="Times New Roman"/>
          <w:sz w:val="18"/>
          <w:szCs w:val="18"/>
        </w:rPr>
        <w:br/>
        <w:t>без гражданства» и № 1-</w:t>
      </w:r>
      <w:proofErr w:type="spellStart"/>
      <w:r>
        <w:rPr>
          <w:rFonts w:ascii="Times New Roman" w:hAnsi="Times New Roman" w:cs="Times New Roman"/>
          <w:sz w:val="18"/>
          <w:szCs w:val="18"/>
        </w:rPr>
        <w:t>выб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ИнГр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«Сведения о выбывших иностранных гражданах и лицах без гражданства».</w:t>
      </w:r>
      <w:proofErr w:type="gramEnd"/>
    </w:p>
    <w:p w:rsidR="00300C97" w:rsidRDefault="00300C97" w:rsidP="009422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Формирование данных по индексу промышленного производства, в том числе по видам экономической деятельности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не представляется возможным, т.к. отсутствует частично или полностью необходимая для расчета информационная база. Кроме того, информационная база несопоставима в территориальном разрезе. Расчет будет возможен при накоплении данных не менее чем за два смежных года (за 2023, 2024 гг.) при разработке соответствующих методологических подходов.</w:t>
      </w:r>
    </w:p>
    <w:p w:rsidR="00300C97" w:rsidRDefault="00300C97" w:rsidP="00942207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18"/>
          <w:szCs w:val="18"/>
        </w:rPr>
        <w:t>Начиная с 2023 г. расчет показателей объема и индекса производства продукции сельского хозяйства по Донецкой Народной Республике не производится ввиду отсутствия необходимой информации, в частности, данных по хозяйствам населения.</w:t>
      </w:r>
    </w:p>
  </w:footnote>
  <w:footnote w:id="2">
    <w:p w:rsidR="00300C97" w:rsidRDefault="00300C97" w:rsidP="00942207">
      <w:pPr>
        <w:pStyle w:val="ac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С 2024 года показатель рассчитывается по полному кругу организаций.</w:t>
      </w:r>
    </w:p>
  </w:footnote>
  <w:footnote w:id="3">
    <w:p w:rsidR="00300C97" w:rsidRPr="00330A76" w:rsidRDefault="00300C97" w:rsidP="00BB0A99">
      <w:pPr>
        <w:pStyle w:val="ac"/>
        <w:jc w:val="both"/>
        <w:rPr>
          <w:sz w:val="18"/>
          <w:szCs w:val="18"/>
        </w:rPr>
      </w:pPr>
      <w:r w:rsidRPr="00330A76">
        <w:rPr>
          <w:rStyle w:val="ad"/>
          <w:sz w:val="18"/>
          <w:szCs w:val="18"/>
        </w:rPr>
        <w:footnoteRef/>
      </w:r>
      <w:r w:rsidRPr="00330A76">
        <w:rPr>
          <w:rFonts w:ascii="Times New Roman" w:hAnsi="Times New Roman" w:cs="Times New Roman"/>
          <w:sz w:val="18"/>
          <w:szCs w:val="18"/>
        </w:rPr>
        <w:t xml:space="preserve"> В 2023 г. показатель формировался по кругу отчитавшихся организаций, включая </w:t>
      </w:r>
      <w:proofErr w:type="spellStart"/>
      <w:r w:rsidRPr="00330A76">
        <w:rPr>
          <w:rFonts w:ascii="Times New Roman" w:hAnsi="Times New Roman" w:cs="Times New Roman"/>
          <w:sz w:val="18"/>
          <w:szCs w:val="18"/>
        </w:rPr>
        <w:t>микропредприятия</w:t>
      </w:r>
      <w:proofErr w:type="spellEnd"/>
      <w:r w:rsidRPr="00330A76">
        <w:rPr>
          <w:rFonts w:ascii="Times New Roman" w:hAnsi="Times New Roman" w:cs="Times New Roman"/>
          <w:sz w:val="18"/>
          <w:szCs w:val="18"/>
        </w:rPr>
        <w:t xml:space="preserve">, с 2024 года – </w:t>
      </w:r>
      <w:r>
        <w:rPr>
          <w:rFonts w:ascii="Times New Roman" w:hAnsi="Times New Roman" w:cs="Times New Roman"/>
          <w:sz w:val="18"/>
          <w:szCs w:val="18"/>
        </w:rPr>
        <w:br/>
      </w:r>
      <w:r w:rsidRPr="00330A76">
        <w:rPr>
          <w:rFonts w:ascii="Times New Roman" w:hAnsi="Times New Roman" w:cs="Times New Roman"/>
          <w:sz w:val="18"/>
          <w:szCs w:val="18"/>
        </w:rPr>
        <w:t>по организациям, не относящимся к субъектам малого предпринимательства.</w:t>
      </w:r>
    </w:p>
  </w:footnote>
  <w:footnote w:id="4">
    <w:p w:rsidR="00300C97" w:rsidRDefault="00300C97" w:rsidP="00BB0A99">
      <w:pPr>
        <w:pStyle w:val="ac"/>
        <w:jc w:val="both"/>
      </w:pPr>
      <w:r>
        <w:rPr>
          <w:rStyle w:val="ad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Данные приведены в соответствии с Официальной статистической методологией формирования официальной статистической информации об объеме платных услуг населению, утвержденной приказом Росстата от 20.12.2023 № 668 </w:t>
      </w:r>
      <w:r>
        <w:rPr>
          <w:rFonts w:ascii="Times New Roman" w:hAnsi="Times New Roman" w:cs="Times New Roman"/>
          <w:sz w:val="18"/>
          <w:szCs w:val="18"/>
        </w:rPr>
        <w:br/>
        <w:t xml:space="preserve">(по организациям, оказывающим платные услуги населению, с учетом данных </w:t>
      </w:r>
      <w:proofErr w:type="spellStart"/>
      <w:r>
        <w:rPr>
          <w:rFonts w:ascii="Times New Roman" w:hAnsi="Times New Roman" w:cs="Times New Roman"/>
          <w:sz w:val="18"/>
          <w:szCs w:val="18"/>
        </w:rPr>
        <w:t>ФНС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России </w:t>
      </w:r>
      <w:r>
        <w:rPr>
          <w:rFonts w:ascii="Times New Roman" w:hAnsi="Times New Roman" w:cs="Times New Roman"/>
          <w:sz w:val="16"/>
          <w:szCs w:val="16"/>
        </w:rPr>
        <w:t xml:space="preserve">о </w:t>
      </w:r>
      <w:r>
        <w:rPr>
          <w:rFonts w:ascii="Times New Roman" w:hAnsi="Times New Roman" w:cs="Times New Roman"/>
          <w:sz w:val="18"/>
          <w:szCs w:val="18"/>
        </w:rPr>
        <w:t xml:space="preserve">доходах налогоплательщиков, применяющих специальный налоговый режим «Налог на профессиональный доход» (самозанятых),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досчетом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на объем платных услуг населению, оказанный организациями, относящимися к субъектам малого предпринимательства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br/>
        <w:t>и индивидуальными предпринимателями).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743289"/>
      <w:docPartObj>
        <w:docPartGallery w:val="Page Numbers (Top of Page)"/>
        <w:docPartUnique/>
      </w:docPartObj>
    </w:sdtPr>
    <w:sdtContent>
      <w:p w:rsidR="00300C97" w:rsidRDefault="00300C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6C9">
          <w:rPr>
            <w:rFonts w:ascii="Times New Roman" w:hAnsi="Times New Roman" w:cs="Times New Roman"/>
            <w:noProof/>
            <w:sz w:val="24"/>
            <w:szCs w:val="24"/>
          </w:rPr>
          <w:t>26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89101"/>
      <w:docPartObj>
        <w:docPartGallery w:val="Page Numbers (Top of Page)"/>
        <w:docPartUnique/>
      </w:docPartObj>
    </w:sdtPr>
    <w:sdtContent>
      <w:p w:rsidR="00300C97" w:rsidRDefault="00300C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6C9">
          <w:rPr>
            <w:rFonts w:ascii="Times New Roman" w:hAnsi="Times New Roman" w:cs="Times New Roman"/>
            <w:noProof/>
            <w:sz w:val="24"/>
            <w:szCs w:val="24"/>
          </w:rPr>
          <w:t>31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97" w:rsidRDefault="00300C9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88376"/>
      <w:docPartObj>
        <w:docPartGallery w:val="Page Numbers (Top of Page)"/>
        <w:docPartUnique/>
      </w:docPartObj>
    </w:sdtPr>
    <w:sdtContent>
      <w:p w:rsidR="00300C97" w:rsidRDefault="00300C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6C9">
          <w:rPr>
            <w:rFonts w:ascii="Times New Roman" w:hAnsi="Times New Roman" w:cs="Times New Roman"/>
            <w:noProof/>
            <w:sz w:val="24"/>
            <w:szCs w:val="24"/>
          </w:rPr>
          <w:t>33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300C97" w:rsidRPr="001655B4" w:rsidRDefault="00300C97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97" w:rsidRDefault="00300C9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158173"/>
      <w:docPartObj>
        <w:docPartGallery w:val="Page Numbers (Top of Page)"/>
        <w:docPartUnique/>
      </w:docPartObj>
    </w:sdtPr>
    <w:sdtContent>
      <w:p w:rsidR="00300C97" w:rsidRDefault="00300C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6C9">
          <w:rPr>
            <w:rFonts w:ascii="Times New Roman" w:hAnsi="Times New Roman" w:cs="Times New Roman"/>
            <w:noProof/>
            <w:sz w:val="24"/>
            <w:szCs w:val="24"/>
          </w:rPr>
          <w:t>43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97" w:rsidRDefault="00300C9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067372"/>
      <w:docPartObj>
        <w:docPartGallery w:val="Page Numbers (Top of Page)"/>
        <w:docPartUnique/>
      </w:docPartObj>
    </w:sdtPr>
    <w:sdtContent>
      <w:p w:rsidR="00300C97" w:rsidRDefault="00300C9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6C9">
          <w:rPr>
            <w:rFonts w:ascii="Times New Roman" w:hAnsi="Times New Roman" w:cs="Times New Roman"/>
            <w:noProof/>
            <w:sz w:val="24"/>
            <w:szCs w:val="24"/>
          </w:rPr>
          <w:t>44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97" w:rsidRDefault="00300C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C4C"/>
    <w:multiLevelType w:val="multilevel"/>
    <w:tmpl w:val="1416F5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B72EFC"/>
    <w:multiLevelType w:val="multilevel"/>
    <w:tmpl w:val="625CBD0A"/>
    <w:lvl w:ilvl="0">
      <w:start w:val="1"/>
      <w:numFmt w:val="decimal"/>
      <w:suff w:val="space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E9"/>
    <w:rsid w:val="000028CD"/>
    <w:rsid w:val="00026706"/>
    <w:rsid w:val="0005656F"/>
    <w:rsid w:val="000C377D"/>
    <w:rsid w:val="000E52DD"/>
    <w:rsid w:val="0014007B"/>
    <w:rsid w:val="00140644"/>
    <w:rsid w:val="00140874"/>
    <w:rsid w:val="001655B4"/>
    <w:rsid w:val="00175CC2"/>
    <w:rsid w:val="001A60B4"/>
    <w:rsid w:val="001A6DC0"/>
    <w:rsid w:val="001E6E1B"/>
    <w:rsid w:val="001F0486"/>
    <w:rsid w:val="00227BD7"/>
    <w:rsid w:val="002B21FB"/>
    <w:rsid w:val="002F4B25"/>
    <w:rsid w:val="00300C97"/>
    <w:rsid w:val="0030128B"/>
    <w:rsid w:val="00306197"/>
    <w:rsid w:val="00330A76"/>
    <w:rsid w:val="003D05AA"/>
    <w:rsid w:val="004766C9"/>
    <w:rsid w:val="00490314"/>
    <w:rsid w:val="004D106C"/>
    <w:rsid w:val="004D6013"/>
    <w:rsid w:val="005B7809"/>
    <w:rsid w:val="005E730B"/>
    <w:rsid w:val="00606202"/>
    <w:rsid w:val="00642C2B"/>
    <w:rsid w:val="006905B9"/>
    <w:rsid w:val="00696E13"/>
    <w:rsid w:val="006C7CA1"/>
    <w:rsid w:val="006F4CA2"/>
    <w:rsid w:val="006F6E38"/>
    <w:rsid w:val="00700A32"/>
    <w:rsid w:val="0073682C"/>
    <w:rsid w:val="00763F07"/>
    <w:rsid w:val="0078111E"/>
    <w:rsid w:val="0078139B"/>
    <w:rsid w:val="00791043"/>
    <w:rsid w:val="007B41E0"/>
    <w:rsid w:val="007E48F2"/>
    <w:rsid w:val="00813C4B"/>
    <w:rsid w:val="008246FF"/>
    <w:rsid w:val="0088435C"/>
    <w:rsid w:val="00884EA0"/>
    <w:rsid w:val="00887F33"/>
    <w:rsid w:val="008B7F8B"/>
    <w:rsid w:val="008D0AB0"/>
    <w:rsid w:val="008D2709"/>
    <w:rsid w:val="00942207"/>
    <w:rsid w:val="00947207"/>
    <w:rsid w:val="00982F85"/>
    <w:rsid w:val="00987936"/>
    <w:rsid w:val="0099030D"/>
    <w:rsid w:val="00A14D2F"/>
    <w:rsid w:val="00A230E3"/>
    <w:rsid w:val="00A27820"/>
    <w:rsid w:val="00A41574"/>
    <w:rsid w:val="00B02EF7"/>
    <w:rsid w:val="00B11A2D"/>
    <w:rsid w:val="00B259B0"/>
    <w:rsid w:val="00B33F73"/>
    <w:rsid w:val="00B37782"/>
    <w:rsid w:val="00B91358"/>
    <w:rsid w:val="00BA7A7D"/>
    <w:rsid w:val="00BB0A99"/>
    <w:rsid w:val="00BB1628"/>
    <w:rsid w:val="00BB3099"/>
    <w:rsid w:val="00BE7FB9"/>
    <w:rsid w:val="00C15B26"/>
    <w:rsid w:val="00C3327C"/>
    <w:rsid w:val="00C45EBB"/>
    <w:rsid w:val="00D01D95"/>
    <w:rsid w:val="00D51D06"/>
    <w:rsid w:val="00D76DF6"/>
    <w:rsid w:val="00DB1865"/>
    <w:rsid w:val="00DE049D"/>
    <w:rsid w:val="00E66951"/>
    <w:rsid w:val="00E7130C"/>
    <w:rsid w:val="00E8428A"/>
    <w:rsid w:val="00EA5C17"/>
    <w:rsid w:val="00ED2CB4"/>
    <w:rsid w:val="00F12ED1"/>
    <w:rsid w:val="00F666A5"/>
    <w:rsid w:val="00F92D07"/>
    <w:rsid w:val="00FA54E9"/>
    <w:rsid w:val="00F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6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F082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1B075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qFormat/>
    <w:rsid w:val="001B07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qFormat/>
    <w:rsid w:val="001B07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1B07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7B4240"/>
  </w:style>
  <w:style w:type="character" w:customStyle="1" w:styleId="a6">
    <w:name w:val="Нижний колонтитул Знак"/>
    <w:basedOn w:val="a0"/>
    <w:link w:val="a7"/>
    <w:uiPriority w:val="99"/>
    <w:qFormat/>
    <w:rsid w:val="007B4240"/>
  </w:style>
  <w:style w:type="character" w:customStyle="1" w:styleId="a8">
    <w:name w:val="Абзац списка Знак"/>
    <w:link w:val="a9"/>
    <w:uiPriority w:val="34"/>
    <w:qFormat/>
    <w:locked/>
    <w:rsid w:val="002C7EB6"/>
  </w:style>
  <w:style w:type="character" w:styleId="aa">
    <w:name w:val="Hyperlink"/>
    <w:basedOn w:val="a0"/>
    <w:uiPriority w:val="99"/>
    <w:unhideWhenUsed/>
    <w:rsid w:val="002C7EB6"/>
    <w:rPr>
      <w:color w:val="0563C1" w:themeColor="hyperlink"/>
      <w:u w:val="single"/>
    </w:rPr>
  </w:style>
  <w:style w:type="character" w:customStyle="1" w:styleId="ab">
    <w:name w:val="Текст сноски Знак"/>
    <w:basedOn w:val="a0"/>
    <w:link w:val="ac"/>
    <w:uiPriority w:val="99"/>
    <w:qFormat/>
    <w:rsid w:val="002C7EB6"/>
    <w:rPr>
      <w:sz w:val="20"/>
      <w:szCs w:val="20"/>
    </w:rPr>
  </w:style>
  <w:style w:type="character" w:customStyle="1" w:styleId="ad">
    <w:name w:val="Символ сноски"/>
    <w:uiPriority w:val="99"/>
    <w:unhideWhenUsed/>
    <w:qFormat/>
    <w:rsid w:val="002C7EB6"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Без интервала Знак"/>
    <w:basedOn w:val="a0"/>
    <w:link w:val="af0"/>
    <w:uiPriority w:val="1"/>
    <w:qFormat/>
    <w:locked/>
    <w:rsid w:val="000A627A"/>
  </w:style>
  <w:style w:type="character" w:customStyle="1" w:styleId="2Exact">
    <w:name w:val="Основной текст (2) Exact"/>
    <w:basedOn w:val="a0"/>
    <w:qFormat/>
    <w:rsid w:val="00457C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FC626D"/>
  </w:style>
  <w:style w:type="character" w:customStyle="1" w:styleId="10">
    <w:name w:val="Заголовок 1 Знак"/>
    <w:basedOn w:val="a0"/>
    <w:link w:val="1"/>
    <w:uiPriority w:val="9"/>
    <w:qFormat/>
    <w:rsid w:val="00FF082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fontstyle01">
    <w:name w:val="fontstyle01"/>
    <w:basedOn w:val="a0"/>
    <w:qFormat/>
    <w:rsid w:val="00745977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B5F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qFormat/>
    <w:rsid w:val="00DB5F0B"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endnote reference"/>
    <w:rPr>
      <w:vertAlign w:val="superscript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ascii="PT Astra Serif" w:hAnsi="PT Astra Serif" w:cs="Noto Sans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8">
    <w:name w:val="Title"/>
    <w:basedOn w:val="a"/>
    <w:next w:val="af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Основной текст1"/>
    <w:basedOn w:val="a"/>
    <w:link w:val="a3"/>
    <w:qFormat/>
    <w:rsid w:val="001B0757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qFormat/>
    <w:rsid w:val="001B0757"/>
    <w:pPr>
      <w:widowControl w:val="0"/>
      <w:shd w:val="clear" w:color="auto" w:fill="FFFFFF"/>
      <w:spacing w:after="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qFormat/>
    <w:rsid w:val="001B0757"/>
    <w:pPr>
      <w:widowControl w:val="0"/>
      <w:shd w:val="clear" w:color="auto" w:fill="FFFFFF"/>
      <w:spacing w:after="0" w:line="36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1B0757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link w:val="a8"/>
    <w:uiPriority w:val="34"/>
    <w:qFormat/>
    <w:rsid w:val="002A1753"/>
    <w:pPr>
      <w:ind w:left="720"/>
      <w:contextualSpacing/>
    </w:pPr>
  </w:style>
  <w:style w:type="paragraph" w:customStyle="1" w:styleId="af9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7B424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7B42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2C7EB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qFormat/>
    <w:rsid w:val="002C7E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unhideWhenUsed/>
    <w:rsid w:val="002C7EB6"/>
    <w:pPr>
      <w:spacing w:after="0" w:line="240" w:lineRule="auto"/>
    </w:pPr>
    <w:rPr>
      <w:sz w:val="20"/>
      <w:szCs w:val="20"/>
    </w:rPr>
  </w:style>
  <w:style w:type="paragraph" w:customStyle="1" w:styleId="mcntmsolistparagraph">
    <w:name w:val="mcntmsolistparagraph"/>
    <w:basedOn w:val="a"/>
    <w:qFormat/>
    <w:rsid w:val="00BA57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soplaintext">
    <w:name w:val="mcntmsoplaintext"/>
    <w:basedOn w:val="a"/>
    <w:qFormat/>
    <w:rsid w:val="00BA57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sonormal">
    <w:name w:val="mcntmsonormal"/>
    <w:basedOn w:val="a"/>
    <w:qFormat/>
    <w:rsid w:val="00BA57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rcssattr">
    <w:name w:val="s5_mr_css_attr"/>
    <w:basedOn w:val="a"/>
    <w:qFormat/>
    <w:rsid w:val="000E0F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0A627A"/>
    <w:pPr>
      <w:ind w:left="-567" w:right="-284"/>
    </w:pPr>
  </w:style>
  <w:style w:type="paragraph" w:customStyle="1" w:styleId="mcntmcntmcntmsonormal">
    <w:name w:val="mcntmcntmcntmsonormal"/>
    <w:basedOn w:val="a"/>
    <w:qFormat/>
    <w:rsid w:val="00764E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cntmcntmsonormal">
    <w:name w:val="mcntmcntmcntmcntmsonormal"/>
    <w:basedOn w:val="a"/>
    <w:qFormat/>
    <w:rsid w:val="00FC62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cntmcntmcntmcntmcntmsonormal">
    <w:name w:val="mcntmcntmcntmcntmcntmcntmcntmsonormal"/>
    <w:basedOn w:val="a"/>
    <w:qFormat/>
    <w:rsid w:val="004A07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39"/>
    <w:rsid w:val="00BD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6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F082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1B0757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qFormat/>
    <w:rsid w:val="001B07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qFormat/>
    <w:rsid w:val="001B07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1B07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7B4240"/>
  </w:style>
  <w:style w:type="character" w:customStyle="1" w:styleId="a6">
    <w:name w:val="Нижний колонтитул Знак"/>
    <w:basedOn w:val="a0"/>
    <w:link w:val="a7"/>
    <w:uiPriority w:val="99"/>
    <w:qFormat/>
    <w:rsid w:val="007B4240"/>
  </w:style>
  <w:style w:type="character" w:customStyle="1" w:styleId="a8">
    <w:name w:val="Абзац списка Знак"/>
    <w:link w:val="a9"/>
    <w:uiPriority w:val="34"/>
    <w:qFormat/>
    <w:locked/>
    <w:rsid w:val="002C7EB6"/>
  </w:style>
  <w:style w:type="character" w:styleId="aa">
    <w:name w:val="Hyperlink"/>
    <w:basedOn w:val="a0"/>
    <w:uiPriority w:val="99"/>
    <w:unhideWhenUsed/>
    <w:rsid w:val="002C7EB6"/>
    <w:rPr>
      <w:color w:val="0563C1" w:themeColor="hyperlink"/>
      <w:u w:val="single"/>
    </w:rPr>
  </w:style>
  <w:style w:type="character" w:customStyle="1" w:styleId="ab">
    <w:name w:val="Текст сноски Знак"/>
    <w:basedOn w:val="a0"/>
    <w:link w:val="ac"/>
    <w:uiPriority w:val="99"/>
    <w:qFormat/>
    <w:rsid w:val="002C7EB6"/>
    <w:rPr>
      <w:sz w:val="20"/>
      <w:szCs w:val="20"/>
    </w:rPr>
  </w:style>
  <w:style w:type="character" w:customStyle="1" w:styleId="ad">
    <w:name w:val="Символ сноски"/>
    <w:uiPriority w:val="99"/>
    <w:unhideWhenUsed/>
    <w:qFormat/>
    <w:rsid w:val="002C7EB6"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Без интервала Знак"/>
    <w:basedOn w:val="a0"/>
    <w:link w:val="af0"/>
    <w:uiPriority w:val="1"/>
    <w:qFormat/>
    <w:locked/>
    <w:rsid w:val="000A627A"/>
  </w:style>
  <w:style w:type="character" w:customStyle="1" w:styleId="2Exact">
    <w:name w:val="Основной текст (2) Exact"/>
    <w:basedOn w:val="a0"/>
    <w:qFormat/>
    <w:rsid w:val="00457C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FC626D"/>
  </w:style>
  <w:style w:type="character" w:customStyle="1" w:styleId="10">
    <w:name w:val="Заголовок 1 Знак"/>
    <w:basedOn w:val="a0"/>
    <w:link w:val="1"/>
    <w:uiPriority w:val="9"/>
    <w:qFormat/>
    <w:rsid w:val="00FF082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fontstyle01">
    <w:name w:val="fontstyle01"/>
    <w:basedOn w:val="a0"/>
    <w:qFormat/>
    <w:rsid w:val="00745977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B5F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qFormat/>
    <w:rsid w:val="00DB5F0B"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endnote reference"/>
    <w:rPr>
      <w:vertAlign w:val="superscript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ascii="PT Astra Serif" w:hAnsi="PT Astra Serif" w:cs="Noto Sans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8">
    <w:name w:val="Title"/>
    <w:basedOn w:val="a"/>
    <w:next w:val="af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Основной текст1"/>
    <w:basedOn w:val="a"/>
    <w:link w:val="a3"/>
    <w:qFormat/>
    <w:rsid w:val="001B0757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qFormat/>
    <w:rsid w:val="001B0757"/>
    <w:pPr>
      <w:widowControl w:val="0"/>
      <w:shd w:val="clear" w:color="auto" w:fill="FFFFFF"/>
      <w:spacing w:after="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qFormat/>
    <w:rsid w:val="001B0757"/>
    <w:pPr>
      <w:widowControl w:val="0"/>
      <w:shd w:val="clear" w:color="auto" w:fill="FFFFFF"/>
      <w:spacing w:after="0" w:line="36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1B0757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link w:val="a8"/>
    <w:uiPriority w:val="34"/>
    <w:qFormat/>
    <w:rsid w:val="002A1753"/>
    <w:pPr>
      <w:ind w:left="720"/>
      <w:contextualSpacing/>
    </w:pPr>
  </w:style>
  <w:style w:type="paragraph" w:customStyle="1" w:styleId="af9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7B424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7B42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2C7EB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qFormat/>
    <w:rsid w:val="002C7E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b"/>
    <w:uiPriority w:val="99"/>
    <w:unhideWhenUsed/>
    <w:rsid w:val="002C7EB6"/>
    <w:pPr>
      <w:spacing w:after="0" w:line="240" w:lineRule="auto"/>
    </w:pPr>
    <w:rPr>
      <w:sz w:val="20"/>
      <w:szCs w:val="20"/>
    </w:rPr>
  </w:style>
  <w:style w:type="paragraph" w:customStyle="1" w:styleId="mcntmsolistparagraph">
    <w:name w:val="mcntmsolistparagraph"/>
    <w:basedOn w:val="a"/>
    <w:qFormat/>
    <w:rsid w:val="00BA57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soplaintext">
    <w:name w:val="mcntmsoplaintext"/>
    <w:basedOn w:val="a"/>
    <w:qFormat/>
    <w:rsid w:val="00BA57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sonormal">
    <w:name w:val="mcntmsonormal"/>
    <w:basedOn w:val="a"/>
    <w:qFormat/>
    <w:rsid w:val="00BA57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rcssattr">
    <w:name w:val="s5_mr_css_attr"/>
    <w:basedOn w:val="a"/>
    <w:qFormat/>
    <w:rsid w:val="000E0F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0A627A"/>
    <w:pPr>
      <w:ind w:left="-567" w:right="-284"/>
    </w:pPr>
  </w:style>
  <w:style w:type="paragraph" w:customStyle="1" w:styleId="mcntmcntmcntmsonormal">
    <w:name w:val="mcntmcntmcntmsonormal"/>
    <w:basedOn w:val="a"/>
    <w:qFormat/>
    <w:rsid w:val="00764E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cntmcntmsonormal">
    <w:name w:val="mcntmcntmcntmcntmsonormal"/>
    <w:basedOn w:val="a"/>
    <w:qFormat/>
    <w:rsid w:val="00FC62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cntmcntmcntmcntmcntmsonormal">
    <w:name w:val="mcntmcntmcntmcntmcntmcntmcntmsonormal"/>
    <w:basedOn w:val="a"/>
    <w:qFormat/>
    <w:rsid w:val="004A07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39"/>
    <w:rsid w:val="00BD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1200110162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yperlink" Target="https://rosstat.gov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DA847-F390-4469-841E-E9699A99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44</Pages>
  <Words>14459</Words>
  <Characters>82422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minfindnr</Company>
  <LinksUpToDate>false</LinksUpToDate>
  <CharactersWithSpaces>96688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Алеся</dc:creator>
  <dc:description/>
  <cp:lastModifiedBy>Федосеенко Татьяна Викторовна</cp:lastModifiedBy>
  <cp:revision>209</cp:revision>
  <cp:lastPrinted>2024-10-24T09:28:00Z</cp:lastPrinted>
  <dcterms:created xsi:type="dcterms:W3CDTF">2024-05-08T11:37:00Z</dcterms:created>
  <dcterms:modified xsi:type="dcterms:W3CDTF">2024-11-19T12:27:00Z</dcterms:modified>
  <dc:language>ru-RU</dc:language>
</cp:coreProperties>
</file>