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ind w:hanging="0" w:left="4820"/>
        <w:rPr>
          <w:rFonts w:ascii="Times New Roman" w:hAnsi="Times New Roman" w:eastAsia="Times New Roman" w:cs="Times New Roman"/>
          <w:bCs/>
          <w:sz w:val="28"/>
          <w:szCs w:val="28"/>
          <w:lang w:eastAsia="zh-CN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zh-CN"/>
        </w:rPr>
        <w:t>Приложение 1</w:t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eastAsia="Times New Roman" w:cs="Times New Roman"/>
          <w:bCs/>
          <w:sz w:val="28"/>
          <w:szCs w:val="28"/>
          <w:lang w:eastAsia="zh-CN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zh-CN"/>
        </w:rPr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eastAsia="Times New Roman" w:cs="Times New Roman"/>
          <w:bCs/>
          <w:sz w:val="28"/>
          <w:szCs w:val="28"/>
          <w:lang w:eastAsia="zh-CN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zh-CN"/>
        </w:rPr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к постановлению Администрации </w:t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 xml:space="preserve">городского округа Донецк </w:t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>Донецкой Народной Республики</w:t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  <w:t>от _</w:t>
      </w:r>
      <w:r>
        <w:rPr>
          <w:rFonts w:cs="Times New Roman" w:ascii="Times New Roman" w:hAnsi="Times New Roman"/>
          <w:bCs/>
          <w:sz w:val="28"/>
          <w:szCs w:val="28"/>
          <w:u w:val="single"/>
        </w:rPr>
        <w:t>10.12.2024</w:t>
      </w:r>
      <w:r>
        <w:rPr>
          <w:rFonts w:cs="Times New Roman" w:ascii="Times New Roman" w:hAnsi="Times New Roman"/>
          <w:bCs/>
          <w:sz w:val="28"/>
          <w:szCs w:val="28"/>
        </w:rPr>
        <w:t xml:space="preserve"> № __</w:t>
      </w:r>
      <w:r>
        <w:rPr>
          <w:rFonts w:cs="Times New Roman" w:ascii="Times New Roman" w:hAnsi="Times New Roman"/>
          <w:bCs/>
          <w:sz w:val="28"/>
          <w:szCs w:val="28"/>
          <w:u w:val="single"/>
        </w:rPr>
        <w:t>982</w:t>
      </w:r>
      <w:r>
        <w:rPr>
          <w:rFonts w:cs="Times New Roman" w:ascii="Times New Roman" w:hAnsi="Times New Roman"/>
          <w:bCs/>
          <w:sz w:val="28"/>
          <w:szCs w:val="28"/>
        </w:rPr>
        <w:t>_</w:t>
      </w:r>
    </w:p>
    <w:p>
      <w:pPr>
        <w:pStyle w:val="Normal"/>
        <w:spacing w:lineRule="auto" w:line="240" w:before="0" w:after="0"/>
        <w:ind w:hanging="0" w:left="4820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ПОЛОЖЕНИЕ</w:t>
      </w:r>
    </w:p>
    <w:p>
      <w:pPr>
        <w:pStyle w:val="21"/>
        <w:shd w:val="clear" w:color="auto" w:fill="auto"/>
        <w:spacing w:lineRule="auto" w:line="240" w:before="0" w:after="0"/>
        <w:ind w:firstLine="800"/>
        <w:jc w:val="center"/>
        <w:rPr>
          <w:rFonts w:ascii="Times New Roman" w:hAnsi="Times New Roman" w:cs="Times New Roman"/>
          <w:b/>
          <w:bCs/>
        </w:rPr>
      </w:pPr>
      <w:r>
        <w:rPr>
          <w:rFonts w:cs="Times New Roman" w:ascii="Times New Roman" w:hAnsi="Times New Roman"/>
          <w:b/>
          <w:bCs/>
        </w:rPr>
        <w:t>об антитеррористической комиссии в муниципальном образовании</w:t>
      </w:r>
      <w:r>
        <w:rPr>
          <w:rFonts w:cs="Times New Roman" w:ascii="Times New Roman" w:hAnsi="Times New Roman"/>
          <w:b/>
          <w:color w:val="000000"/>
          <w:lang w:bidi="ru-RU"/>
        </w:rPr>
        <w:t xml:space="preserve"> городской округ Донецк </w:t>
      </w:r>
      <w:r>
        <w:rPr>
          <w:rFonts w:cs="Times New Roman" w:ascii="Times New Roman" w:hAnsi="Times New Roman"/>
          <w:b/>
          <w:bCs/>
        </w:rPr>
        <w:t>Донецкой Народной Республики</w:t>
      </w:r>
    </w:p>
    <w:p>
      <w:pPr>
        <w:pStyle w:val="21"/>
        <w:shd w:val="clear" w:color="auto" w:fill="auto"/>
        <w:spacing w:lineRule="auto" w:line="240" w:before="0" w:after="0"/>
        <w:ind w:firstLine="800"/>
        <w:jc w:val="both"/>
        <w:rPr>
          <w:rFonts w:ascii="Times New Roman" w:hAnsi="Times New Roman" w:eastAsia="Calibri" w:cs="Times New Roman"/>
          <w:color w:val="000000"/>
        </w:rPr>
      </w:pPr>
      <w:r>
        <w:rPr>
          <w:rFonts w:eastAsia="Calibri" w:cs="Times New Roman" w:ascii="Times New Roman" w:hAnsi="Times New Roman"/>
          <w:color w:val="000000"/>
        </w:rPr>
      </w:r>
    </w:p>
    <w:p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Антитеррористическая комиссия в муниципальном образовании        городской округ Донецк Донецкой Народной Республики (далее - Комиссия) является коллегиальным органом, сформированным для организации взаимодействия территориальных органов федеральных органов исполнительной власти, органов исполнительной власти Донецкой Народной Республики и органов местного самоуправления муниципального образования городской округ Донецк Донецкой Народной Республики по профилактике терроризма, а также по минимизации и (или) ликвидации последствий его проявлений и для реализации решений антитеррористической комиссии в Донецкой Народной Республике         (далее - АТК в Донецкой Народной Республике).</w:t>
      </w:r>
    </w:p>
    <w:p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ind w:firstLine="708"/>
        <w:jc w:val="both"/>
        <w:rPr/>
      </w:pPr>
      <w:r>
        <w:rPr>
          <w:sz w:val="28"/>
          <w:szCs w:val="28"/>
        </w:rPr>
        <w:t>2. 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и иными нормативными правовыми актами Донецкой Народной Республики, муниципальными правовыми актами, решениями Национального антитеррористического комитета и АТК в Донецкой Народной Республике, а также настоящим Положением.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tabs>
          <w:tab w:val="clear" w:pos="708"/>
          <w:tab w:val="left" w:pos="855" w:leader="none"/>
        </w:tabs>
        <w:jc w:val="both"/>
        <w:rPr/>
      </w:pPr>
      <w:r>
        <w:rPr>
          <w:sz w:val="28"/>
          <w:szCs w:val="28"/>
        </w:rPr>
        <w:tab/>
        <w:t>3. Руководителем Комиссии является Глава муниципального образования городского округа Донецк Донецкой Народной Республики (далее - председатель Комиссии).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Основной задачей Комиссии является организация взаимодействия    и координация деятельности территориальных органов федеральных органов исполнительной власти, органов исполнительной власти Донецкой Народной Республики и органов местного самоуправления муниципального образования городской округ Донецк Донецкой Народной Республики   (далее - ОМС) по профилактике терроризма, а также по минимизации и (или) ликвидации последствий его проявлений и реализация решений АТК               в Донецкой Народной Республике на территории муниципального образования городской округ Донецк Донецкой Народной Республики    (далее - городской округ Донецк).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Комиссия осуществляет следующие основные функции: 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а) выработка мер по профилактике терроризма, а также по минимизации и (или) ликвидации последствий его проявлений на территории городского округа Донецк;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б) обеспечение согласованности действий подразделений территориальных органов федеральных органов исполнительной власти, органов исполнительной власти Донецкой Народной Республики и ОМС         в ходе: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разработки и реализации муниципальных программ в сфере профилактики терроризма, а также минимизации и (или) ликвидации последствий его проявлений;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проведения информационно-пропагандистских мероприятий по разъяснению сущности терроризма и его общественной опасности, а также по формированию у граждан неприятия идеологии терроризма;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участия ОМС в мероприятиях по профилактике терроризма, а также     в минимизации (или) ликвидации последствий его проявлений, организуемых федеральными органами исполнительной власти и (или) органами исполнительной власти Донецкой Народной Республики;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в) выработка мер по обеспечению выполнения требований                       к антитеррористической защищенности объектов (территорий), находящихся в муниципальной собственности или в ведении ОМС;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г) участие в мониторинге политических, социально-экономических        и иных процессов, оказывающих влияние на ситуацию в области противодействия терроризму, осуществляемом АТК в Донецкой Народной Республике;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д) контроль за исполнением решений Комиссии;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е) организация исполнения решений АТК в Донецкой Народной Республике в городском округе Донецк.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6. Комиссия для решения возложенной на нее задачи имеет право: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а) принимать решения по вопросам, отнесенным к ее компетенции;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б) запрашивать и получать в установленном порядке необходимые материалы и информацию от подразделений (представителей) территориальных органов федеральных органов исполнительной власти, органов исполнительной власти Донецкой Народной Республики, ОМС,  общественных объединений, организаций (независимо от форм собственности) и должностных лиц;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в) создавать рабочие группы для изучения вопросов, отнесенных            к компетенции Комиссии; 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г) привлекать для участия в работе Комиссии должностных лиц              и специалистов подразделений территориальных органов федеральных органов исполнительной власти, органов исполнительной власти Донецкой Народной Республики, ОМС, представителей организаций и общественных объединений по согласованию с их руководителями;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д) вносить в установленном порядке предложения по вопросам, требующим решения АТК в Донецкой Народной Республике.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7. Комиссия строит свою работу во взаимодействии с оперативной группой в городском округе Донецк, которая создается для осуществления первоочередных мер по пресечению террористического акта или действий, создающих непосредственную угрозу его совершения, на территории городского округа Донецк.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shd w:fill="auto" w:val="clear"/>
        </w:rPr>
        <w:t xml:space="preserve">8. Комиссия осуществляет свою деятельность на плановой основе в соответствии с ее регламентом,  утвержденным постановлением Администрации городского округа Донецк </w:t>
      </w:r>
      <w:r>
        <w:rPr>
          <w:rFonts w:eastAsia="Calibri" w:cs="Times New Roman"/>
          <w:color w:val="000000"/>
          <w:kern w:val="0"/>
          <w:sz w:val="28"/>
          <w:szCs w:val="28"/>
          <w:shd w:fill="auto" w:val="clear"/>
          <w:lang w:val="ru-RU" w:eastAsia="en-US" w:bidi="ar-SA"/>
        </w:rPr>
        <w:t xml:space="preserve"> Донецкой Народной Республики.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9. Комиссия информирует АТК в Донецкой Народной Республике          о проведенной работе по итогам своей деятельности не реже одного раза        в полугодие, а также по итогам проведенных заседаний в порядке, установленном председателем АТК в Донецкой Народной Республике.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10. Для реализации решений Комиссии могут издаваться муниципальные правовые акты.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11. </w:t>
      </w:r>
      <w:bookmarkStart w:id="0" w:name="_GoBack"/>
      <w:bookmarkEnd w:id="0"/>
      <w:r>
        <w:rPr>
          <w:sz w:val="28"/>
          <w:szCs w:val="28"/>
        </w:rPr>
        <w:t>Организационное и материально-техническое обеспечение деятельности Комиссии организуется Департаментом гражданской защиты администрации городского округа Донецк и секретарем Комиссии.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12. Секретарь  Комиссии: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а) разрабатывает проекты планов работы Комиссии, решений Комиссии и отчетов о результатах деятельности Комиссии;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б) обеспечивает подготовку и проведение заседаний Комиссии;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в) осуществляет по поручению председателя Комиссии контроль исполнения поручений, содержащихся в решениях Комиссии;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г) организует работу по сбору, накоплению, обобщению и анализу информации, подготовке информационных материалов об общественно-политических, социально-экономических и иных процессах на территории городского округа Донецк, оказывающих влияние на развитие ситуации          в сфере профилактики терроризма; 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д) обеспечивает взаимодействие Комиссии с АТК в Донецкой Народной Республике;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е) организует делопроизводство Комиссии.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13. Члены Комиссии обязаны: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организовывать подготовку вопросов, выносимых на рассмотрение Комиссии в соответствии с решениями Комиссии, председателя Комиссии или по предложениям членов Комиссии, утвержденным протокольным решением;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>организовать в рамках своих должностных полномочий выполнение решений Комиссии.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14. Члены Комиссии имеют право: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знакомиться с документами и материалами Комиссии, непосредственно касающимися ее деятельности;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выступать на заседаниях Комиссии, вносить предложения по вопросам, входящим в компетенцию Комиссии, и требовать, в случае необходимости, проведения голосования по данным вопросам;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излагать в случае несогласия с решением Комиссии в письменной форме особое мнение, которое подлежит отражению в протоколе заседания Комиссии и прилагается к его решению;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голосовать на заседаниях Комиссии. </w:t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348" w:before="0" w:after="0"/>
        <w:ind w:firstLine="709"/>
        <w:jc w:val="both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  <w:t>15. Комиссия имеет бланк со своим наименованием.</w:t>
      </w:r>
    </w:p>
    <w:p>
      <w:pPr>
        <w:pStyle w:val="Normal"/>
        <w:spacing w:lineRule="auto" w:line="348" w:before="0" w:after="0"/>
        <w:ind w:firstLine="709"/>
        <w:jc w:val="both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spacing w:lineRule="auto" w:line="348" w:before="0" w:after="0"/>
        <w:ind w:firstLine="709"/>
        <w:jc w:val="both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spacing w:lineRule="auto" w:line="348" w:before="0" w:after="0"/>
        <w:ind w:firstLine="709"/>
        <w:jc w:val="center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  <w:t>___________________</w:t>
      </w:r>
    </w:p>
    <w:p>
      <w:pPr>
        <w:pStyle w:val="Normal"/>
        <w:spacing w:lineRule="auto" w:line="348" w:before="0" w:after="0"/>
        <w:ind w:firstLine="709"/>
        <w:jc w:val="center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 w:val="false"/>
        <w:spacing w:lineRule="auto" w:line="240" w:before="0" w:after="0"/>
        <w:jc w:val="both"/>
        <w:textAlignment w:val="baseline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  <w:tab/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</w:rPr>
      </w:r>
    </w:p>
    <w:sectPr>
      <w:headerReference w:type="default" r:id="rId2"/>
      <w:type w:val="nextPage"/>
      <w:pgSz w:w="11906" w:h="16838"/>
      <w:pgMar w:left="1701" w:right="851" w:gutter="0" w:header="709" w:top="1134" w:footer="0" w:bottom="1134"/>
      <w:pgNumType w:fmt="decimal"/>
      <w:formProt w:val="false"/>
      <w:titlePg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Segoe U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482027786"/>
    </w:sdtPr>
    <w:sdtContent>
      <w:p>
        <w:pPr>
          <w:pStyle w:val="14"/>
          <w:jc w:val="center"/>
          <w:rPr>
            <w:rFonts w:ascii="Times New Roman" w:hAnsi="Times New Roman" w:eastAsia="Calibri" w:cs="Times New Roman"/>
            <w:color w:val="000000"/>
            <w:sz w:val="28"/>
            <w:szCs w:val="28"/>
          </w:rPr>
        </w:pPr>
        <w:r>
          <w:rPr>
            <w:rFonts w:eastAsia="Calibri" w:cs="Times New Roman" w:ascii="Times New Roman" w:hAnsi="Times New Roman"/>
            <w:color w:val="000000"/>
            <w:sz w:val="28"/>
            <w:szCs w:val="28"/>
          </w:rPr>
          <w:fldChar w:fldCharType="begin"/>
        </w:r>
        <w:r>
          <w:rPr>
            <w:sz w:val="28"/>
            <w:szCs w:val="28"/>
            <w:rFonts w:eastAsia="Calibri" w:cs="Times New Roman" w:ascii="Times New Roman" w:hAnsi="Times New Roman"/>
            <w:color w:val="000000"/>
          </w:rPr>
          <w:instrText xml:space="preserve"> PAGE </w:instrText>
        </w:r>
        <w:r>
          <w:rPr>
            <w:sz w:val="28"/>
            <w:szCs w:val="28"/>
            <w:rFonts w:eastAsia="Calibri" w:cs="Times New Roman" w:ascii="Times New Roman" w:hAnsi="Times New Roman"/>
            <w:color w:val="000000"/>
          </w:rPr>
          <w:fldChar w:fldCharType="separate"/>
        </w:r>
        <w:r>
          <w:rPr>
            <w:sz w:val="28"/>
            <w:szCs w:val="28"/>
            <w:rFonts w:eastAsia="Calibri" w:cs="Times New Roman" w:ascii="Times New Roman" w:hAnsi="Times New Roman"/>
            <w:color w:val="000000"/>
          </w:rPr>
          <w:t>4</w:t>
        </w:r>
        <w:r>
          <w:rPr>
            <w:sz w:val="28"/>
            <w:szCs w:val="28"/>
            <w:rFonts w:eastAsia="Calibri" w:cs="Times New Roman" w:ascii="Times New Roman" w:hAnsi="Times New Roman"/>
            <w:color w:val="000000"/>
          </w:rPr>
          <w:fldChar w:fldCharType="end"/>
        </w:r>
      </w:p>
    </w:sdtContent>
  </w:sdt>
  <w:p>
    <w:pPr>
      <w:pStyle w:val="14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376b4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текст (2)_"/>
    <w:link w:val="21"/>
    <w:qFormat/>
    <w:rsid w:val="00010fe4"/>
    <w:rPr>
      <w:sz w:val="28"/>
      <w:szCs w:val="28"/>
      <w:shd w:fill="FFFFFF" w:val="clear"/>
    </w:rPr>
  </w:style>
  <w:style w:type="character" w:styleId="Style14" w:customStyle="1">
    <w:name w:val="Верхний колонтитул Знак"/>
    <w:basedOn w:val="DefaultParagraphFont"/>
    <w:link w:val="14"/>
    <w:uiPriority w:val="99"/>
    <w:qFormat/>
    <w:rsid w:val="003510a8"/>
    <w:rPr/>
  </w:style>
  <w:style w:type="character" w:styleId="Style15" w:customStyle="1">
    <w:name w:val="Нижний колонтитул Знак"/>
    <w:basedOn w:val="DefaultParagraphFont"/>
    <w:link w:val="15"/>
    <w:uiPriority w:val="99"/>
    <w:qFormat/>
    <w:rsid w:val="003510a8"/>
    <w:rPr/>
  </w:style>
  <w:style w:type="character" w:styleId="1" w:customStyle="1">
    <w:name w:val="Верхний колонтитул Знак1"/>
    <w:basedOn w:val="DefaultParagraphFont"/>
    <w:uiPriority w:val="99"/>
    <w:semiHidden/>
    <w:qFormat/>
    <w:rsid w:val="006b0382"/>
    <w:rPr/>
  </w:style>
  <w:style w:type="character" w:styleId="11" w:customStyle="1">
    <w:name w:val="Нижний колонтитул Знак1"/>
    <w:basedOn w:val="DefaultParagraphFont"/>
    <w:uiPriority w:val="99"/>
    <w:semiHidden/>
    <w:qFormat/>
    <w:rsid w:val="006b0382"/>
    <w:rPr/>
  </w:style>
  <w:style w:type="character" w:styleId="Style16" w:customStyle="1">
    <w:name w:val="Текст выноски Знак"/>
    <w:basedOn w:val="DefaultParagraphFont"/>
    <w:link w:val="BalloonText"/>
    <w:uiPriority w:val="99"/>
    <w:semiHidden/>
    <w:qFormat/>
    <w:rsid w:val="00c551fb"/>
    <w:rPr>
      <w:rFonts w:ascii="Segoe UI" w:hAnsi="Segoe UI" w:cs="Segoe UI"/>
      <w:sz w:val="18"/>
      <w:szCs w:val="18"/>
    </w:rPr>
  </w:style>
  <w:style w:type="paragraph" w:styleId="Style17">
    <w:name w:val="Заголовок"/>
    <w:basedOn w:val="Normal"/>
    <w:next w:val="BodyText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BodyText">
    <w:name w:val="Body Text"/>
    <w:basedOn w:val="Normal"/>
    <w:rsid w:val="003376b4"/>
    <w:pPr>
      <w:spacing w:before="0" w:after="140"/>
    </w:pPr>
    <w:rPr/>
  </w:style>
  <w:style w:type="paragraph" w:styleId="List">
    <w:name w:val="List"/>
    <w:basedOn w:val="BodyText"/>
    <w:rsid w:val="003376b4"/>
    <w:pPr/>
    <w:rPr>
      <w:rFonts w:ascii="PT Astra Serif" w:hAnsi="PT Astra Serif"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12" w:customStyle="1">
    <w:name w:val="Заголовок1"/>
    <w:basedOn w:val="Normal"/>
    <w:next w:val="BodyText"/>
    <w:qFormat/>
    <w:rsid w:val="003376b4"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13" w:customStyle="1">
    <w:name w:val="Название объекта1"/>
    <w:basedOn w:val="Normal"/>
    <w:qFormat/>
    <w:rsid w:val="003376b4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3376b4"/>
    <w:pPr>
      <w:suppressLineNumbers/>
    </w:pPr>
    <w:rPr>
      <w:rFonts w:ascii="PT Astra Serif" w:hAnsi="PT Astra Serif" w:cs="Noto Sans Devanagari"/>
    </w:rPr>
  </w:style>
  <w:style w:type="paragraph" w:styleId="Caption1">
    <w:name w:val="caption1"/>
    <w:basedOn w:val="Normal"/>
    <w:qFormat/>
    <w:rsid w:val="003376b4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Default" w:customStyle="1">
    <w:name w:val="Default"/>
    <w:qFormat/>
    <w:rsid w:val="002e5947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en-US" w:bidi="ar-SA"/>
    </w:rPr>
  </w:style>
  <w:style w:type="paragraph" w:styleId="21" w:customStyle="1">
    <w:name w:val="Основной текст (2)"/>
    <w:basedOn w:val="Normal"/>
    <w:link w:val="2"/>
    <w:qFormat/>
    <w:rsid w:val="00010fe4"/>
    <w:pPr>
      <w:widowControl w:val="false"/>
      <w:shd w:val="clear" w:color="auto" w:fill="FFFFFF"/>
      <w:spacing w:lineRule="atLeast" w:line="0" w:before="0" w:after="60"/>
    </w:pPr>
    <w:rPr>
      <w:sz w:val="28"/>
      <w:szCs w:val="28"/>
    </w:rPr>
  </w:style>
  <w:style w:type="paragraph" w:styleId="Style19" w:customStyle="1">
    <w:name w:val="Колонтитул"/>
    <w:basedOn w:val="Normal"/>
    <w:qFormat/>
    <w:rsid w:val="003376b4"/>
    <w:pPr/>
    <w:rPr/>
  </w:style>
  <w:style w:type="paragraph" w:styleId="14" w:customStyle="1">
    <w:name w:val="Верхний колонтитул1"/>
    <w:basedOn w:val="Normal"/>
    <w:link w:val="Style14"/>
    <w:uiPriority w:val="99"/>
    <w:unhideWhenUsed/>
    <w:qFormat/>
    <w:rsid w:val="003510a8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5" w:customStyle="1">
    <w:name w:val="Нижний колонтитул1"/>
    <w:basedOn w:val="Normal"/>
    <w:link w:val="Style15"/>
    <w:uiPriority w:val="99"/>
    <w:unhideWhenUsed/>
    <w:qFormat/>
    <w:rsid w:val="003510a8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Header">
    <w:name w:val="Header"/>
    <w:basedOn w:val="Normal"/>
    <w:link w:val="1"/>
    <w:uiPriority w:val="99"/>
    <w:semiHidden/>
    <w:unhideWhenUsed/>
    <w:rsid w:val="006b0382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11"/>
    <w:uiPriority w:val="99"/>
    <w:semiHidden/>
    <w:unhideWhenUsed/>
    <w:rsid w:val="006b0382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Style16"/>
    <w:uiPriority w:val="99"/>
    <w:semiHidden/>
    <w:unhideWhenUsed/>
    <w:qFormat/>
    <w:rsid w:val="00c551fb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Application>LibreOffice/7.6.7.2$Linux_X86_64 LibreOffice_project/60$Build-2</Application>
  <AppVersion>15.0000</AppVersion>
  <Pages>4</Pages>
  <Words>855</Words>
  <Characters>6468</Characters>
  <CharactersWithSpaces>7474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2024-08-29T08:04:00Z</dcterms:created>
  <dc:creator>User</dc:creator>
  <dc:description/>
  <dc:language>ru-RU</dc:language>
  <cp:lastModifiedBy/>
  <cp:lastPrinted>2024-12-06T14:40:11Z</cp:lastPrinted>
  <dcterms:modified xsi:type="dcterms:W3CDTF">2024-12-11T08:09:55Z</dcterms:modified>
  <cp:revision>27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